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15CCB" w14:textId="0FFC72C4" w:rsidR="00003117" w:rsidRPr="00634032" w:rsidRDefault="00003117" w:rsidP="00003117">
      <w:pPr>
        <w:jc w:val="center"/>
        <w:rPr>
          <w:b/>
          <w:u w:val="single"/>
        </w:rPr>
      </w:pPr>
      <w:r w:rsidRPr="00634032">
        <w:rPr>
          <w:b/>
          <w:u w:val="single"/>
        </w:rPr>
        <w:t>MF 202</w:t>
      </w:r>
      <w:r w:rsidR="004930D8">
        <w:rPr>
          <w:b/>
          <w:u w:val="single"/>
        </w:rPr>
        <w:t>4</w:t>
      </w:r>
      <w:r w:rsidRPr="00634032">
        <w:rPr>
          <w:b/>
          <w:u w:val="single"/>
        </w:rPr>
        <w:t xml:space="preserve"> RESERVE FUND BUDGET VERSUS NEEDS ANALYSIS</w:t>
      </w:r>
    </w:p>
    <w:p w14:paraId="68F7CECF" w14:textId="77777777" w:rsidR="00003117" w:rsidRDefault="00003117" w:rsidP="00003117">
      <w:pPr>
        <w:jc w:val="center"/>
        <w:rPr>
          <w:b/>
          <w:u w:val="single"/>
        </w:rPr>
      </w:pPr>
    </w:p>
    <w:p w14:paraId="1552AAF0" w14:textId="01B83CC4" w:rsidR="00234C13" w:rsidRPr="00634032" w:rsidRDefault="00634032" w:rsidP="00634032">
      <w:pPr>
        <w:pBdr>
          <w:top w:val="single" w:sz="4" w:space="1" w:color="auto"/>
          <w:left w:val="single" w:sz="4" w:space="4" w:color="auto"/>
          <w:bottom w:val="single" w:sz="4" w:space="1" w:color="auto"/>
          <w:right w:val="single" w:sz="4" w:space="4" w:color="auto"/>
        </w:pBdr>
        <w:shd w:val="clear" w:color="auto" w:fill="BFBFBF" w:themeFill="background1" w:themeFillShade="BF"/>
        <w:rPr>
          <w:b/>
          <w:i/>
          <w:iCs/>
        </w:rPr>
      </w:pPr>
      <w:r w:rsidRPr="00634032">
        <w:rPr>
          <w:b/>
          <w:i/>
          <w:iCs/>
        </w:rPr>
        <w:t>This document</w:t>
      </w:r>
      <w:r w:rsidR="004E4440">
        <w:rPr>
          <w:b/>
          <w:i/>
          <w:iCs/>
        </w:rPr>
        <w:t>, once the TBD values are entered,</w:t>
      </w:r>
      <w:r w:rsidRPr="00634032">
        <w:rPr>
          <w:b/>
          <w:i/>
          <w:iCs/>
        </w:rPr>
        <w:t xml:space="preserve"> needs board approval</w:t>
      </w:r>
      <w:r w:rsidR="004930D8">
        <w:rPr>
          <w:b/>
          <w:i/>
          <w:iCs/>
        </w:rPr>
        <w:t xml:space="preserve"> [developed by the partnership of the FIN and B&amp;G teams]</w:t>
      </w:r>
      <w:r w:rsidR="004E4440">
        <w:rPr>
          <w:b/>
          <w:i/>
          <w:iCs/>
        </w:rPr>
        <w:t xml:space="preserve">. </w:t>
      </w:r>
      <w:r w:rsidR="00234C13">
        <w:rPr>
          <w:b/>
          <w:i/>
          <w:iCs/>
        </w:rPr>
        <w:t xml:space="preserve">Important Note: This is an interim version – the final version will result from the second quarter 2024 project to produce a new </w:t>
      </w:r>
      <w:proofErr w:type="gramStart"/>
      <w:r w:rsidR="00234C13">
        <w:rPr>
          <w:b/>
          <w:i/>
          <w:iCs/>
        </w:rPr>
        <w:t>five year</w:t>
      </w:r>
      <w:proofErr w:type="gramEnd"/>
      <w:r w:rsidR="00234C13">
        <w:rPr>
          <w:b/>
          <w:i/>
          <w:iCs/>
        </w:rPr>
        <w:t xml:space="preserve"> plan to replace the one in the Reserve</w:t>
      </w:r>
      <w:r w:rsidR="00565787">
        <w:rPr>
          <w:b/>
          <w:i/>
          <w:iCs/>
        </w:rPr>
        <w:t xml:space="preserve"> </w:t>
      </w:r>
      <w:r w:rsidR="00234C13">
        <w:rPr>
          <w:b/>
          <w:i/>
          <w:iCs/>
        </w:rPr>
        <w:t xml:space="preserve">Advisor </w:t>
      </w:r>
      <w:r w:rsidR="00565787">
        <w:rPr>
          <w:b/>
          <w:i/>
          <w:iCs/>
        </w:rPr>
        <w:t>Report</w:t>
      </w:r>
    </w:p>
    <w:p w14:paraId="14CC9059" w14:textId="77777777" w:rsidR="00634032" w:rsidRPr="00634032" w:rsidRDefault="00634032" w:rsidP="00634032">
      <w:pPr>
        <w:rPr>
          <w:b/>
          <w:u w:val="single"/>
        </w:rPr>
      </w:pPr>
    </w:p>
    <w:p w14:paraId="102EAABC" w14:textId="3B1BF4C1" w:rsidR="00003117" w:rsidRPr="00634032" w:rsidRDefault="00003117" w:rsidP="00003117">
      <w:pPr>
        <w:rPr>
          <w:b/>
          <w:i/>
          <w:iCs/>
        </w:rPr>
      </w:pPr>
      <w:r w:rsidRPr="00634032">
        <w:rPr>
          <w:bCs/>
        </w:rPr>
        <w:t>The table below provides information on the probable expenses that need to be covered in 202</w:t>
      </w:r>
      <w:r w:rsidR="004930D8">
        <w:rPr>
          <w:bCs/>
        </w:rPr>
        <w:t>4</w:t>
      </w:r>
      <w:r w:rsidRPr="00634032">
        <w:rPr>
          <w:bCs/>
        </w:rPr>
        <w:t xml:space="preserve"> as well as a) what is in the budget for each item and b) </w:t>
      </w:r>
      <w:r w:rsidR="00EB49DA">
        <w:rPr>
          <w:bCs/>
        </w:rPr>
        <w:t xml:space="preserve">the </w:t>
      </w:r>
      <w:r w:rsidRPr="00634032">
        <w:rPr>
          <w:bCs/>
        </w:rPr>
        <w:t>likely source of funding for the underfunded projects.</w:t>
      </w:r>
      <w:r w:rsidR="00634032">
        <w:rPr>
          <w:bCs/>
        </w:rPr>
        <w:t xml:space="preserve"> </w:t>
      </w:r>
      <w:r w:rsidR="00634032" w:rsidRPr="00634032">
        <w:rPr>
          <w:b/>
          <w:i/>
          <w:iCs/>
        </w:rPr>
        <w:t>NOTE TO BOARD MEMBERS: For a view of the full scope and full detail for the 202</w:t>
      </w:r>
      <w:r w:rsidR="004930D8">
        <w:rPr>
          <w:b/>
          <w:i/>
          <w:iCs/>
        </w:rPr>
        <w:t>4</w:t>
      </w:r>
      <w:r w:rsidR="00634032" w:rsidRPr="00634032">
        <w:rPr>
          <w:b/>
          <w:i/>
          <w:iCs/>
        </w:rPr>
        <w:t xml:space="preserve"> RP/RF Plan </w:t>
      </w:r>
      <w:r w:rsidR="00565787">
        <w:rPr>
          <w:b/>
          <w:i/>
          <w:iCs/>
        </w:rPr>
        <w:t xml:space="preserve">(which is known to be inaccurate and only a placeholder) </w:t>
      </w:r>
      <w:r w:rsidR="00634032" w:rsidRPr="00634032">
        <w:rPr>
          <w:b/>
          <w:i/>
          <w:iCs/>
        </w:rPr>
        <w:t>see that information in the monthly Financial Statement Notes [</w:t>
      </w:r>
      <w:r w:rsidR="00634032">
        <w:rPr>
          <w:b/>
          <w:i/>
          <w:iCs/>
        </w:rPr>
        <w:t>which</w:t>
      </w:r>
      <w:r w:rsidR="00634032" w:rsidRPr="00634032">
        <w:rPr>
          <w:b/>
          <w:i/>
          <w:iCs/>
        </w:rPr>
        <w:t xml:space="preserve"> along with the P&amp;L and BAL information make up our monthly financials].   </w:t>
      </w:r>
    </w:p>
    <w:p w14:paraId="3025A62F" w14:textId="77777777" w:rsidR="00A6014A" w:rsidRPr="00634032" w:rsidRDefault="00A6014A" w:rsidP="00003117">
      <w:pPr>
        <w:rPr>
          <w:bCs/>
        </w:rPr>
      </w:pPr>
    </w:p>
    <w:tbl>
      <w:tblPr>
        <w:tblStyle w:val="TableGrid"/>
        <w:tblW w:w="0" w:type="auto"/>
        <w:tblLook w:val="04A0" w:firstRow="1" w:lastRow="0" w:firstColumn="1" w:lastColumn="0" w:noHBand="0" w:noVBand="1"/>
      </w:tblPr>
      <w:tblGrid>
        <w:gridCol w:w="2155"/>
        <w:gridCol w:w="1260"/>
        <w:gridCol w:w="1170"/>
        <w:gridCol w:w="1440"/>
        <w:gridCol w:w="3325"/>
      </w:tblGrid>
      <w:tr w:rsidR="00F44D51" w:rsidRPr="00634032" w14:paraId="53537641" w14:textId="77777777" w:rsidTr="00F44D51">
        <w:tc>
          <w:tcPr>
            <w:tcW w:w="2155" w:type="dxa"/>
          </w:tcPr>
          <w:p w14:paraId="3891A9CD" w14:textId="489F6CDE" w:rsidR="00A6014A" w:rsidRPr="00634032" w:rsidRDefault="00F44D51" w:rsidP="00F44D51">
            <w:pPr>
              <w:jc w:val="center"/>
              <w:rPr>
                <w:b/>
              </w:rPr>
            </w:pPr>
            <w:r w:rsidRPr="00634032">
              <w:rPr>
                <w:b/>
              </w:rPr>
              <w:t>Expense Item</w:t>
            </w:r>
          </w:p>
        </w:tc>
        <w:tc>
          <w:tcPr>
            <w:tcW w:w="1260" w:type="dxa"/>
          </w:tcPr>
          <w:p w14:paraId="472BDCC9" w14:textId="147902F5" w:rsidR="00A6014A" w:rsidRPr="00634032" w:rsidRDefault="00F44D51" w:rsidP="00F44D51">
            <w:pPr>
              <w:jc w:val="center"/>
              <w:rPr>
                <w:b/>
              </w:rPr>
            </w:pPr>
            <w:r w:rsidRPr="00634032">
              <w:rPr>
                <w:b/>
              </w:rPr>
              <w:t>Budgeted $</w:t>
            </w:r>
          </w:p>
        </w:tc>
        <w:tc>
          <w:tcPr>
            <w:tcW w:w="1170" w:type="dxa"/>
          </w:tcPr>
          <w:p w14:paraId="78C1F783" w14:textId="666BB130" w:rsidR="00A6014A" w:rsidRPr="00634032" w:rsidRDefault="00F44D51" w:rsidP="00F44D51">
            <w:pPr>
              <w:jc w:val="center"/>
              <w:rPr>
                <w:b/>
              </w:rPr>
            </w:pPr>
            <w:r w:rsidRPr="00634032">
              <w:rPr>
                <w:b/>
              </w:rPr>
              <w:t>Actual Needed $</w:t>
            </w:r>
          </w:p>
        </w:tc>
        <w:tc>
          <w:tcPr>
            <w:tcW w:w="1440" w:type="dxa"/>
          </w:tcPr>
          <w:p w14:paraId="44415D64" w14:textId="02E594F2" w:rsidR="00A6014A" w:rsidRPr="00634032" w:rsidRDefault="00F44D51" w:rsidP="00F44D51">
            <w:pPr>
              <w:jc w:val="center"/>
              <w:rPr>
                <w:b/>
              </w:rPr>
            </w:pPr>
            <w:r w:rsidRPr="00634032">
              <w:rPr>
                <w:b/>
              </w:rPr>
              <w:t>RF pulled back $</w:t>
            </w:r>
          </w:p>
        </w:tc>
        <w:tc>
          <w:tcPr>
            <w:tcW w:w="3325" w:type="dxa"/>
          </w:tcPr>
          <w:p w14:paraId="1AA8A876" w14:textId="7C64BCA6" w:rsidR="00A6014A" w:rsidRPr="00634032" w:rsidRDefault="00F44D51" w:rsidP="00F44D51">
            <w:pPr>
              <w:jc w:val="center"/>
              <w:rPr>
                <w:b/>
              </w:rPr>
            </w:pPr>
            <w:r w:rsidRPr="00634032">
              <w:rPr>
                <w:b/>
              </w:rPr>
              <w:t xml:space="preserve">Current Solution </w:t>
            </w:r>
            <w:proofErr w:type="gramStart"/>
            <w:r w:rsidRPr="00634032">
              <w:rPr>
                <w:b/>
              </w:rPr>
              <w:t>To</w:t>
            </w:r>
            <w:proofErr w:type="gramEnd"/>
            <w:r w:rsidRPr="00634032">
              <w:rPr>
                <w:b/>
              </w:rPr>
              <w:t xml:space="preserve"> Fix Gap</w:t>
            </w:r>
          </w:p>
        </w:tc>
      </w:tr>
      <w:tr w:rsidR="00F44D51" w:rsidRPr="00634032" w14:paraId="07BE14FC" w14:textId="77777777" w:rsidTr="00F44D51">
        <w:tc>
          <w:tcPr>
            <w:tcW w:w="2155" w:type="dxa"/>
          </w:tcPr>
          <w:p w14:paraId="7ACF4A6A" w14:textId="1C2795F8" w:rsidR="00F44D51" w:rsidRPr="00634032" w:rsidRDefault="00F44D51" w:rsidP="00003117">
            <w:pPr>
              <w:rPr>
                <w:b/>
                <w:i/>
                <w:iCs/>
              </w:rPr>
            </w:pPr>
            <w:r w:rsidRPr="00634032">
              <w:rPr>
                <w:b/>
                <w:i/>
                <w:iCs/>
              </w:rPr>
              <w:t>Exterior reserve</w:t>
            </w:r>
          </w:p>
        </w:tc>
        <w:tc>
          <w:tcPr>
            <w:tcW w:w="1260" w:type="dxa"/>
          </w:tcPr>
          <w:p w14:paraId="7D66CB27" w14:textId="77777777" w:rsidR="00F44D51" w:rsidRPr="00634032" w:rsidRDefault="00F44D51" w:rsidP="00F44D51">
            <w:pPr>
              <w:jc w:val="center"/>
              <w:rPr>
                <w:bCs/>
              </w:rPr>
            </w:pPr>
          </w:p>
        </w:tc>
        <w:tc>
          <w:tcPr>
            <w:tcW w:w="1170" w:type="dxa"/>
          </w:tcPr>
          <w:p w14:paraId="6B8C80BD" w14:textId="77777777" w:rsidR="00F44D51" w:rsidRPr="00634032" w:rsidRDefault="00F44D51" w:rsidP="00F44D51">
            <w:pPr>
              <w:jc w:val="center"/>
              <w:rPr>
                <w:bCs/>
              </w:rPr>
            </w:pPr>
          </w:p>
        </w:tc>
        <w:tc>
          <w:tcPr>
            <w:tcW w:w="1440" w:type="dxa"/>
          </w:tcPr>
          <w:p w14:paraId="0833D052" w14:textId="77777777" w:rsidR="00F44D51" w:rsidRPr="00634032" w:rsidRDefault="00F44D51" w:rsidP="00F44D51">
            <w:pPr>
              <w:jc w:val="center"/>
              <w:rPr>
                <w:bCs/>
              </w:rPr>
            </w:pPr>
          </w:p>
        </w:tc>
        <w:tc>
          <w:tcPr>
            <w:tcW w:w="3325" w:type="dxa"/>
          </w:tcPr>
          <w:p w14:paraId="46CB7E6E" w14:textId="77777777" w:rsidR="00F44D51" w:rsidRPr="00634032" w:rsidRDefault="00F44D51" w:rsidP="00003117">
            <w:pPr>
              <w:rPr>
                <w:bCs/>
              </w:rPr>
            </w:pPr>
          </w:p>
        </w:tc>
      </w:tr>
      <w:tr w:rsidR="00F44D51" w:rsidRPr="00634032" w14:paraId="67010323" w14:textId="77777777" w:rsidTr="00F44D51">
        <w:tc>
          <w:tcPr>
            <w:tcW w:w="2155" w:type="dxa"/>
          </w:tcPr>
          <w:p w14:paraId="43EC8F14" w14:textId="43892650" w:rsidR="00A6014A" w:rsidRPr="00634032" w:rsidRDefault="006B652A" w:rsidP="00003117">
            <w:pPr>
              <w:rPr>
                <w:bCs/>
              </w:rPr>
            </w:pPr>
            <w:r w:rsidRPr="00634032">
              <w:rPr>
                <w:bCs/>
              </w:rPr>
              <w:t xml:space="preserve">1) </w:t>
            </w:r>
            <w:r w:rsidR="00F44D51" w:rsidRPr="00634032">
              <w:rPr>
                <w:bCs/>
              </w:rPr>
              <w:t xml:space="preserve">Condo painting </w:t>
            </w:r>
          </w:p>
        </w:tc>
        <w:tc>
          <w:tcPr>
            <w:tcW w:w="1260" w:type="dxa"/>
          </w:tcPr>
          <w:p w14:paraId="6539C895" w14:textId="6F971E50" w:rsidR="00A6014A" w:rsidRPr="00634032" w:rsidRDefault="00F44D51" w:rsidP="00F44D51">
            <w:pPr>
              <w:jc w:val="center"/>
              <w:rPr>
                <w:bCs/>
              </w:rPr>
            </w:pPr>
            <w:r w:rsidRPr="00634032">
              <w:rPr>
                <w:bCs/>
              </w:rPr>
              <w:t>0</w:t>
            </w:r>
          </w:p>
        </w:tc>
        <w:tc>
          <w:tcPr>
            <w:tcW w:w="1170" w:type="dxa"/>
          </w:tcPr>
          <w:p w14:paraId="74D0DF8E" w14:textId="0F157428" w:rsidR="00A6014A" w:rsidRPr="00634032" w:rsidRDefault="006B652A" w:rsidP="00F44D51">
            <w:pPr>
              <w:jc w:val="center"/>
              <w:rPr>
                <w:bCs/>
              </w:rPr>
            </w:pPr>
            <w:r w:rsidRPr="00634032">
              <w:rPr>
                <w:bCs/>
                <w:color w:val="000000" w:themeColor="text1"/>
              </w:rPr>
              <w:t>0</w:t>
            </w:r>
          </w:p>
        </w:tc>
        <w:tc>
          <w:tcPr>
            <w:tcW w:w="1440" w:type="dxa"/>
          </w:tcPr>
          <w:p w14:paraId="0C1D4C37" w14:textId="5B467C5D" w:rsidR="00A6014A" w:rsidRPr="00634032" w:rsidRDefault="00F44D51" w:rsidP="00F44D51">
            <w:pPr>
              <w:jc w:val="center"/>
              <w:rPr>
                <w:bCs/>
              </w:rPr>
            </w:pPr>
            <w:r w:rsidRPr="00634032">
              <w:rPr>
                <w:bCs/>
              </w:rPr>
              <w:t>0</w:t>
            </w:r>
          </w:p>
        </w:tc>
        <w:tc>
          <w:tcPr>
            <w:tcW w:w="3325" w:type="dxa"/>
          </w:tcPr>
          <w:p w14:paraId="5B0196BF" w14:textId="35DC28BC" w:rsidR="00A6014A" w:rsidRPr="00634032" w:rsidRDefault="004930D8" w:rsidP="00006277">
            <w:pPr>
              <w:rPr>
                <w:bCs/>
              </w:rPr>
            </w:pPr>
            <w:r>
              <w:rPr>
                <w:bCs/>
              </w:rPr>
              <w:t>N/A</w:t>
            </w:r>
          </w:p>
        </w:tc>
      </w:tr>
      <w:tr w:rsidR="00F44D51" w:rsidRPr="00634032" w14:paraId="20F78CA4" w14:textId="77777777" w:rsidTr="00F44D51">
        <w:tc>
          <w:tcPr>
            <w:tcW w:w="2155" w:type="dxa"/>
          </w:tcPr>
          <w:p w14:paraId="2CE2492E" w14:textId="184F9CAF" w:rsidR="00A6014A" w:rsidRPr="00634032" w:rsidRDefault="006B652A" w:rsidP="00003117">
            <w:pPr>
              <w:rPr>
                <w:bCs/>
              </w:rPr>
            </w:pPr>
            <w:r w:rsidRPr="00634032">
              <w:rPr>
                <w:bCs/>
              </w:rPr>
              <w:t xml:space="preserve">2) </w:t>
            </w:r>
            <w:r w:rsidR="00F44D51" w:rsidRPr="00634032">
              <w:rPr>
                <w:bCs/>
              </w:rPr>
              <w:t xml:space="preserve">Deck painting </w:t>
            </w:r>
            <w:r w:rsidR="00960521" w:rsidRPr="00634032">
              <w:rPr>
                <w:bCs/>
              </w:rPr>
              <w:t xml:space="preserve">– </w:t>
            </w:r>
            <w:r w:rsidR="004930D8">
              <w:rPr>
                <w:bCs/>
              </w:rPr>
              <w:t>specific group</w:t>
            </w:r>
            <w:r w:rsidR="00960521" w:rsidRPr="00634032">
              <w:rPr>
                <w:bCs/>
              </w:rPr>
              <w:t xml:space="preserve"> decks</w:t>
            </w:r>
          </w:p>
        </w:tc>
        <w:tc>
          <w:tcPr>
            <w:tcW w:w="1260" w:type="dxa"/>
          </w:tcPr>
          <w:p w14:paraId="001E4008" w14:textId="5426C7A5" w:rsidR="00A6014A" w:rsidRPr="00634032" w:rsidRDefault="00F44D51" w:rsidP="00F44D51">
            <w:pPr>
              <w:jc w:val="center"/>
              <w:rPr>
                <w:bCs/>
              </w:rPr>
            </w:pPr>
            <w:r w:rsidRPr="00634032">
              <w:rPr>
                <w:bCs/>
              </w:rPr>
              <w:t>0</w:t>
            </w:r>
          </w:p>
        </w:tc>
        <w:tc>
          <w:tcPr>
            <w:tcW w:w="1170" w:type="dxa"/>
          </w:tcPr>
          <w:p w14:paraId="238B2FFA" w14:textId="0D1986F6" w:rsidR="00A6014A" w:rsidRPr="00634032" w:rsidRDefault="006B652A" w:rsidP="00F44D51">
            <w:pPr>
              <w:jc w:val="center"/>
              <w:rPr>
                <w:bCs/>
              </w:rPr>
            </w:pPr>
            <w:r w:rsidRPr="00634032">
              <w:rPr>
                <w:bCs/>
                <w:color w:val="000000" w:themeColor="text1"/>
              </w:rPr>
              <w:t>0</w:t>
            </w:r>
          </w:p>
        </w:tc>
        <w:tc>
          <w:tcPr>
            <w:tcW w:w="1440" w:type="dxa"/>
          </w:tcPr>
          <w:p w14:paraId="2DBC3EB9" w14:textId="3363A4DB" w:rsidR="00A6014A" w:rsidRPr="00634032" w:rsidRDefault="006B652A" w:rsidP="00F44D51">
            <w:pPr>
              <w:jc w:val="center"/>
              <w:rPr>
                <w:bCs/>
              </w:rPr>
            </w:pPr>
            <w:r w:rsidRPr="00634032">
              <w:rPr>
                <w:bCs/>
              </w:rPr>
              <w:t>0</w:t>
            </w:r>
            <w:r w:rsidR="007B5EA1" w:rsidRPr="00634032">
              <w:rPr>
                <w:bCs/>
              </w:rPr>
              <w:t xml:space="preserve"> </w:t>
            </w:r>
          </w:p>
        </w:tc>
        <w:tc>
          <w:tcPr>
            <w:tcW w:w="3325" w:type="dxa"/>
          </w:tcPr>
          <w:p w14:paraId="29BF0A36" w14:textId="71A705BB" w:rsidR="00A6014A" w:rsidRPr="00634032" w:rsidRDefault="004930D8" w:rsidP="00003117">
            <w:pPr>
              <w:rPr>
                <w:bCs/>
              </w:rPr>
            </w:pPr>
            <w:r>
              <w:rPr>
                <w:bCs/>
              </w:rPr>
              <w:t>N/A</w:t>
            </w:r>
          </w:p>
        </w:tc>
      </w:tr>
      <w:tr w:rsidR="00960521" w:rsidRPr="00634032" w14:paraId="24A50F9C" w14:textId="77777777" w:rsidTr="00F44D51">
        <w:tc>
          <w:tcPr>
            <w:tcW w:w="2155" w:type="dxa"/>
          </w:tcPr>
          <w:p w14:paraId="1230BE5D" w14:textId="7B6D5C6A" w:rsidR="00960521" w:rsidRPr="00634032" w:rsidRDefault="006B652A" w:rsidP="00003117">
            <w:pPr>
              <w:rPr>
                <w:bCs/>
              </w:rPr>
            </w:pPr>
            <w:r w:rsidRPr="00634032">
              <w:rPr>
                <w:bCs/>
              </w:rPr>
              <w:t xml:space="preserve">3) </w:t>
            </w:r>
            <w:r w:rsidR="00960521" w:rsidRPr="00634032">
              <w:rPr>
                <w:bCs/>
              </w:rPr>
              <w:t xml:space="preserve">Deck painting </w:t>
            </w:r>
            <w:proofErr w:type="gramStart"/>
            <w:r w:rsidR="00960521" w:rsidRPr="00634032">
              <w:rPr>
                <w:bCs/>
              </w:rPr>
              <w:t>–  other</w:t>
            </w:r>
            <w:proofErr w:type="gramEnd"/>
            <w:r w:rsidR="00960521" w:rsidRPr="00634032">
              <w:rPr>
                <w:bCs/>
              </w:rPr>
              <w:t xml:space="preserve"> decks</w:t>
            </w:r>
          </w:p>
        </w:tc>
        <w:tc>
          <w:tcPr>
            <w:tcW w:w="1260" w:type="dxa"/>
          </w:tcPr>
          <w:p w14:paraId="7303BB3E" w14:textId="0CE43E6C" w:rsidR="00960521" w:rsidRPr="00634032" w:rsidRDefault="00960521" w:rsidP="00F44D51">
            <w:pPr>
              <w:jc w:val="center"/>
              <w:rPr>
                <w:bCs/>
              </w:rPr>
            </w:pPr>
            <w:r w:rsidRPr="00634032">
              <w:rPr>
                <w:bCs/>
              </w:rPr>
              <w:t>2,</w:t>
            </w:r>
            <w:r w:rsidR="004930D8">
              <w:rPr>
                <w:bCs/>
              </w:rPr>
              <w:t>400</w:t>
            </w:r>
          </w:p>
        </w:tc>
        <w:tc>
          <w:tcPr>
            <w:tcW w:w="1170" w:type="dxa"/>
          </w:tcPr>
          <w:p w14:paraId="713321F9" w14:textId="2AEA9D5D" w:rsidR="00960521" w:rsidRPr="00634032" w:rsidRDefault="004930D8" w:rsidP="00F44D51">
            <w:pPr>
              <w:jc w:val="center"/>
              <w:rPr>
                <w:bCs/>
                <w:color w:val="FF0000"/>
              </w:rPr>
            </w:pPr>
            <w:r>
              <w:rPr>
                <w:bCs/>
                <w:color w:val="000000" w:themeColor="text1"/>
              </w:rPr>
              <w:t>TBD</w:t>
            </w:r>
            <w:r w:rsidR="00960521" w:rsidRPr="00634032">
              <w:rPr>
                <w:bCs/>
                <w:color w:val="000000" w:themeColor="text1"/>
              </w:rPr>
              <w:t xml:space="preserve"> </w:t>
            </w:r>
          </w:p>
        </w:tc>
        <w:tc>
          <w:tcPr>
            <w:tcW w:w="1440" w:type="dxa"/>
          </w:tcPr>
          <w:p w14:paraId="51AB2F63" w14:textId="0EBDA192" w:rsidR="00960521" w:rsidRPr="00634032" w:rsidRDefault="00960521" w:rsidP="00F44D51">
            <w:pPr>
              <w:jc w:val="center"/>
              <w:rPr>
                <w:bCs/>
              </w:rPr>
            </w:pPr>
            <w:r w:rsidRPr="00634032">
              <w:rPr>
                <w:bCs/>
              </w:rPr>
              <w:t>0</w:t>
            </w:r>
          </w:p>
        </w:tc>
        <w:tc>
          <w:tcPr>
            <w:tcW w:w="3325" w:type="dxa"/>
          </w:tcPr>
          <w:p w14:paraId="2F45D264" w14:textId="46956B88" w:rsidR="00960521" w:rsidRPr="00634032" w:rsidRDefault="00006277" w:rsidP="00003117">
            <w:pPr>
              <w:rPr>
                <w:bCs/>
              </w:rPr>
            </w:pPr>
            <w:r w:rsidRPr="00634032">
              <w:rPr>
                <w:bCs/>
              </w:rPr>
              <w:t xml:space="preserve">No </w:t>
            </w:r>
            <w:r w:rsidR="004930D8">
              <w:rPr>
                <w:bCs/>
              </w:rPr>
              <w:t>information yet on what decks will need attention in 2024</w:t>
            </w:r>
          </w:p>
        </w:tc>
      </w:tr>
      <w:tr w:rsidR="00F44D51" w:rsidRPr="00634032" w14:paraId="233830B1" w14:textId="77777777" w:rsidTr="00F44D51">
        <w:tc>
          <w:tcPr>
            <w:tcW w:w="2155" w:type="dxa"/>
          </w:tcPr>
          <w:p w14:paraId="53DB2CF2" w14:textId="1C5DD72B" w:rsidR="00A6014A" w:rsidRPr="00634032" w:rsidRDefault="006B652A" w:rsidP="00003117">
            <w:pPr>
              <w:rPr>
                <w:bCs/>
              </w:rPr>
            </w:pPr>
            <w:r w:rsidRPr="00634032">
              <w:rPr>
                <w:bCs/>
              </w:rPr>
              <w:t xml:space="preserve">4) </w:t>
            </w:r>
            <w:r w:rsidR="00F44D51" w:rsidRPr="00634032">
              <w:rPr>
                <w:bCs/>
              </w:rPr>
              <w:t>Siding major repairs/replacement</w:t>
            </w:r>
          </w:p>
        </w:tc>
        <w:tc>
          <w:tcPr>
            <w:tcW w:w="1260" w:type="dxa"/>
          </w:tcPr>
          <w:p w14:paraId="1A5810B0" w14:textId="0C1D64D8" w:rsidR="00A6014A" w:rsidRPr="00634032" w:rsidRDefault="00F44D51" w:rsidP="00F44D51">
            <w:pPr>
              <w:jc w:val="center"/>
              <w:rPr>
                <w:bCs/>
              </w:rPr>
            </w:pPr>
            <w:r w:rsidRPr="00634032">
              <w:rPr>
                <w:bCs/>
                <w:highlight w:val="yellow"/>
              </w:rPr>
              <w:t>5,000</w:t>
            </w:r>
          </w:p>
        </w:tc>
        <w:tc>
          <w:tcPr>
            <w:tcW w:w="1170" w:type="dxa"/>
          </w:tcPr>
          <w:p w14:paraId="3F85026F" w14:textId="5EB26797" w:rsidR="00A6014A" w:rsidRPr="00634032" w:rsidRDefault="00F44D51" w:rsidP="00F44D51">
            <w:pPr>
              <w:jc w:val="center"/>
              <w:rPr>
                <w:bCs/>
              </w:rPr>
            </w:pPr>
            <w:r w:rsidRPr="00634032">
              <w:rPr>
                <w:bCs/>
              </w:rPr>
              <w:t>0</w:t>
            </w:r>
          </w:p>
        </w:tc>
        <w:tc>
          <w:tcPr>
            <w:tcW w:w="1440" w:type="dxa"/>
          </w:tcPr>
          <w:p w14:paraId="6CBB35A3" w14:textId="50CC3B2A" w:rsidR="00A6014A" w:rsidRPr="00634032" w:rsidRDefault="0069602A" w:rsidP="00F44D51">
            <w:pPr>
              <w:jc w:val="center"/>
              <w:rPr>
                <w:bCs/>
              </w:rPr>
            </w:pPr>
            <w:r w:rsidRPr="00634032">
              <w:rPr>
                <w:bCs/>
              </w:rPr>
              <w:t>0</w:t>
            </w:r>
          </w:p>
        </w:tc>
        <w:tc>
          <w:tcPr>
            <w:tcW w:w="3325" w:type="dxa"/>
          </w:tcPr>
          <w:p w14:paraId="65059BD5" w14:textId="024275BA" w:rsidR="00A6014A" w:rsidRPr="00634032" w:rsidRDefault="007B5EA1" w:rsidP="00003117">
            <w:pPr>
              <w:rPr>
                <w:bCs/>
              </w:rPr>
            </w:pPr>
            <w:r w:rsidRPr="00634032">
              <w:rPr>
                <w:bCs/>
              </w:rPr>
              <w:t>Part of ABM</w:t>
            </w:r>
          </w:p>
        </w:tc>
      </w:tr>
      <w:tr w:rsidR="00F44D51" w:rsidRPr="00634032" w14:paraId="009FBC6A" w14:textId="77777777" w:rsidTr="00F44D51">
        <w:tc>
          <w:tcPr>
            <w:tcW w:w="2155" w:type="dxa"/>
          </w:tcPr>
          <w:p w14:paraId="3DB0C8DF" w14:textId="1F456C83" w:rsidR="00A6014A" w:rsidRPr="00634032" w:rsidRDefault="00F44D51" w:rsidP="00003117">
            <w:pPr>
              <w:rPr>
                <w:b/>
                <w:i/>
                <w:iCs/>
              </w:rPr>
            </w:pPr>
            <w:r w:rsidRPr="00634032">
              <w:rPr>
                <w:b/>
                <w:i/>
                <w:iCs/>
              </w:rPr>
              <w:t>Projects reserve</w:t>
            </w:r>
          </w:p>
        </w:tc>
        <w:tc>
          <w:tcPr>
            <w:tcW w:w="1260" w:type="dxa"/>
          </w:tcPr>
          <w:p w14:paraId="4216F34B" w14:textId="77777777" w:rsidR="00A6014A" w:rsidRPr="00634032" w:rsidRDefault="00A6014A" w:rsidP="00F44D51">
            <w:pPr>
              <w:jc w:val="center"/>
              <w:rPr>
                <w:bCs/>
              </w:rPr>
            </w:pPr>
          </w:p>
        </w:tc>
        <w:tc>
          <w:tcPr>
            <w:tcW w:w="1170" w:type="dxa"/>
          </w:tcPr>
          <w:p w14:paraId="05806DC0" w14:textId="77777777" w:rsidR="00A6014A" w:rsidRPr="00634032" w:rsidRDefault="00A6014A" w:rsidP="00F44D51">
            <w:pPr>
              <w:jc w:val="center"/>
              <w:rPr>
                <w:bCs/>
              </w:rPr>
            </w:pPr>
          </w:p>
        </w:tc>
        <w:tc>
          <w:tcPr>
            <w:tcW w:w="1440" w:type="dxa"/>
          </w:tcPr>
          <w:p w14:paraId="2AFF08A3" w14:textId="77777777" w:rsidR="00A6014A" w:rsidRPr="00634032" w:rsidRDefault="00A6014A" w:rsidP="00F44D51">
            <w:pPr>
              <w:jc w:val="center"/>
              <w:rPr>
                <w:bCs/>
              </w:rPr>
            </w:pPr>
          </w:p>
        </w:tc>
        <w:tc>
          <w:tcPr>
            <w:tcW w:w="3325" w:type="dxa"/>
          </w:tcPr>
          <w:p w14:paraId="14FB1D4C" w14:textId="77777777" w:rsidR="00A6014A" w:rsidRPr="00634032" w:rsidRDefault="00A6014A" w:rsidP="00003117">
            <w:pPr>
              <w:rPr>
                <w:bCs/>
              </w:rPr>
            </w:pPr>
          </w:p>
        </w:tc>
      </w:tr>
      <w:tr w:rsidR="00F44D51" w:rsidRPr="00634032" w14:paraId="60AC26F5" w14:textId="77777777" w:rsidTr="00F44D51">
        <w:tc>
          <w:tcPr>
            <w:tcW w:w="2155" w:type="dxa"/>
          </w:tcPr>
          <w:p w14:paraId="0B0BCCC8" w14:textId="1E78D56D" w:rsidR="00A6014A" w:rsidRPr="00634032" w:rsidRDefault="006B652A" w:rsidP="00003117">
            <w:pPr>
              <w:rPr>
                <w:bCs/>
              </w:rPr>
            </w:pPr>
            <w:r w:rsidRPr="00634032">
              <w:rPr>
                <w:bCs/>
              </w:rPr>
              <w:t xml:space="preserve">1) </w:t>
            </w:r>
            <w:r w:rsidR="00F44D51" w:rsidRPr="00634032">
              <w:rPr>
                <w:bCs/>
              </w:rPr>
              <w:t>Common area stuff</w:t>
            </w:r>
          </w:p>
        </w:tc>
        <w:tc>
          <w:tcPr>
            <w:tcW w:w="1260" w:type="dxa"/>
          </w:tcPr>
          <w:p w14:paraId="5EBBD6D1" w14:textId="54FEB47C" w:rsidR="00A6014A" w:rsidRPr="00634032" w:rsidRDefault="00F44D51" w:rsidP="00F44D51">
            <w:pPr>
              <w:jc w:val="center"/>
              <w:rPr>
                <w:bCs/>
              </w:rPr>
            </w:pPr>
            <w:r w:rsidRPr="00634032">
              <w:rPr>
                <w:bCs/>
                <w:highlight w:val="yellow"/>
              </w:rPr>
              <w:t>1,000</w:t>
            </w:r>
          </w:p>
        </w:tc>
        <w:tc>
          <w:tcPr>
            <w:tcW w:w="1170" w:type="dxa"/>
          </w:tcPr>
          <w:p w14:paraId="672D042D" w14:textId="4A5ED489" w:rsidR="00A6014A" w:rsidRPr="00634032" w:rsidRDefault="00F44D51" w:rsidP="00F44D51">
            <w:pPr>
              <w:jc w:val="center"/>
              <w:rPr>
                <w:bCs/>
              </w:rPr>
            </w:pPr>
            <w:r w:rsidRPr="00634032">
              <w:rPr>
                <w:bCs/>
              </w:rPr>
              <w:t>0</w:t>
            </w:r>
          </w:p>
        </w:tc>
        <w:tc>
          <w:tcPr>
            <w:tcW w:w="1440" w:type="dxa"/>
          </w:tcPr>
          <w:p w14:paraId="45061840" w14:textId="2F5E8936" w:rsidR="00A6014A" w:rsidRPr="00634032" w:rsidRDefault="007B5EA1" w:rsidP="00F44D51">
            <w:pPr>
              <w:jc w:val="center"/>
              <w:rPr>
                <w:bCs/>
              </w:rPr>
            </w:pPr>
            <w:r w:rsidRPr="00634032">
              <w:rPr>
                <w:bCs/>
              </w:rPr>
              <w:t>0</w:t>
            </w:r>
          </w:p>
        </w:tc>
        <w:tc>
          <w:tcPr>
            <w:tcW w:w="3325" w:type="dxa"/>
          </w:tcPr>
          <w:p w14:paraId="15DD2A4A" w14:textId="2D434485" w:rsidR="00A6014A" w:rsidRPr="00634032" w:rsidRDefault="007B5EA1" w:rsidP="00003117">
            <w:pPr>
              <w:rPr>
                <w:bCs/>
              </w:rPr>
            </w:pPr>
            <w:r w:rsidRPr="00634032">
              <w:rPr>
                <w:bCs/>
              </w:rPr>
              <w:t>Part of ABM</w:t>
            </w:r>
          </w:p>
        </w:tc>
      </w:tr>
      <w:tr w:rsidR="00F44D51" w:rsidRPr="00634032" w14:paraId="1CF74763" w14:textId="77777777" w:rsidTr="00F44D51">
        <w:tc>
          <w:tcPr>
            <w:tcW w:w="2155" w:type="dxa"/>
          </w:tcPr>
          <w:p w14:paraId="0368F3DD" w14:textId="6311F44A" w:rsidR="00F44D51" w:rsidRPr="00634032" w:rsidRDefault="006B652A" w:rsidP="00003117">
            <w:pPr>
              <w:rPr>
                <w:bCs/>
              </w:rPr>
            </w:pPr>
            <w:r w:rsidRPr="00634032">
              <w:rPr>
                <w:bCs/>
              </w:rPr>
              <w:t xml:space="preserve">2) </w:t>
            </w:r>
            <w:r w:rsidR="00F44D51" w:rsidRPr="00634032">
              <w:rPr>
                <w:bCs/>
              </w:rPr>
              <w:t>Deck major repairs/replacement</w:t>
            </w:r>
          </w:p>
        </w:tc>
        <w:tc>
          <w:tcPr>
            <w:tcW w:w="1260" w:type="dxa"/>
          </w:tcPr>
          <w:p w14:paraId="6C600667" w14:textId="600542FE" w:rsidR="00F44D51" w:rsidRPr="00634032" w:rsidRDefault="00F44D51" w:rsidP="00F44D51">
            <w:pPr>
              <w:jc w:val="center"/>
              <w:rPr>
                <w:bCs/>
              </w:rPr>
            </w:pPr>
            <w:r w:rsidRPr="00634032">
              <w:rPr>
                <w:bCs/>
                <w:highlight w:val="yellow"/>
              </w:rPr>
              <w:t>4,000</w:t>
            </w:r>
          </w:p>
        </w:tc>
        <w:tc>
          <w:tcPr>
            <w:tcW w:w="1170" w:type="dxa"/>
          </w:tcPr>
          <w:p w14:paraId="3AE28232" w14:textId="44E7F186" w:rsidR="00F44D51" w:rsidRPr="00634032" w:rsidRDefault="00F44D51" w:rsidP="00F44D51">
            <w:pPr>
              <w:jc w:val="center"/>
              <w:rPr>
                <w:bCs/>
              </w:rPr>
            </w:pPr>
            <w:r w:rsidRPr="00634032">
              <w:rPr>
                <w:bCs/>
              </w:rPr>
              <w:t>0</w:t>
            </w:r>
          </w:p>
        </w:tc>
        <w:tc>
          <w:tcPr>
            <w:tcW w:w="1440" w:type="dxa"/>
          </w:tcPr>
          <w:p w14:paraId="1EA99DD8" w14:textId="14B64415" w:rsidR="00F44D51" w:rsidRPr="00634032" w:rsidRDefault="007B5EA1" w:rsidP="00F44D51">
            <w:pPr>
              <w:jc w:val="center"/>
              <w:rPr>
                <w:bCs/>
              </w:rPr>
            </w:pPr>
            <w:r w:rsidRPr="00634032">
              <w:rPr>
                <w:bCs/>
              </w:rPr>
              <w:t>0</w:t>
            </w:r>
          </w:p>
        </w:tc>
        <w:tc>
          <w:tcPr>
            <w:tcW w:w="3325" w:type="dxa"/>
          </w:tcPr>
          <w:p w14:paraId="6C192D99" w14:textId="592C7860" w:rsidR="00F44D51" w:rsidRPr="00634032" w:rsidRDefault="00960521" w:rsidP="00003117">
            <w:pPr>
              <w:rPr>
                <w:bCs/>
              </w:rPr>
            </w:pPr>
            <w:r w:rsidRPr="00634032">
              <w:rPr>
                <w:bCs/>
              </w:rPr>
              <w:t>Part of ABM</w:t>
            </w:r>
          </w:p>
        </w:tc>
      </w:tr>
      <w:tr w:rsidR="00F44D51" w:rsidRPr="00634032" w14:paraId="7CF58603" w14:textId="77777777" w:rsidTr="00F44D51">
        <w:tc>
          <w:tcPr>
            <w:tcW w:w="2155" w:type="dxa"/>
          </w:tcPr>
          <w:p w14:paraId="557A5DBB" w14:textId="0D4DE4CA" w:rsidR="00F44D51" w:rsidRPr="00634032" w:rsidRDefault="006B652A" w:rsidP="00003117">
            <w:pPr>
              <w:rPr>
                <w:bCs/>
              </w:rPr>
            </w:pPr>
            <w:r w:rsidRPr="00634032">
              <w:rPr>
                <w:bCs/>
              </w:rPr>
              <w:t xml:space="preserve">3) </w:t>
            </w:r>
            <w:r w:rsidR="00F44D51" w:rsidRPr="00634032">
              <w:rPr>
                <w:bCs/>
              </w:rPr>
              <w:t>Driveways</w:t>
            </w:r>
          </w:p>
        </w:tc>
        <w:tc>
          <w:tcPr>
            <w:tcW w:w="1260" w:type="dxa"/>
          </w:tcPr>
          <w:p w14:paraId="526AB4AF" w14:textId="4EBFE2A2" w:rsidR="00F44D51" w:rsidRPr="00634032" w:rsidRDefault="00F44D51" w:rsidP="00F44D51">
            <w:pPr>
              <w:jc w:val="center"/>
              <w:rPr>
                <w:bCs/>
              </w:rPr>
            </w:pPr>
            <w:r w:rsidRPr="00634032">
              <w:rPr>
                <w:bCs/>
              </w:rPr>
              <w:t xml:space="preserve">2,500 </w:t>
            </w:r>
          </w:p>
        </w:tc>
        <w:tc>
          <w:tcPr>
            <w:tcW w:w="1170" w:type="dxa"/>
          </w:tcPr>
          <w:p w14:paraId="62A29109" w14:textId="59C53C4A" w:rsidR="00F44D51" w:rsidRPr="00234C13" w:rsidRDefault="00234C13" w:rsidP="00F44D51">
            <w:pPr>
              <w:jc w:val="center"/>
              <w:rPr>
                <w:bCs/>
              </w:rPr>
            </w:pPr>
            <w:r>
              <w:rPr>
                <w:bCs/>
              </w:rPr>
              <w:t>TBD</w:t>
            </w:r>
          </w:p>
        </w:tc>
        <w:tc>
          <w:tcPr>
            <w:tcW w:w="1440" w:type="dxa"/>
          </w:tcPr>
          <w:p w14:paraId="11A302F4" w14:textId="249BF9E0" w:rsidR="00F44D51" w:rsidRPr="00234C13" w:rsidRDefault="00234C13" w:rsidP="00F44D51">
            <w:pPr>
              <w:jc w:val="center"/>
              <w:rPr>
                <w:bCs/>
              </w:rPr>
            </w:pPr>
            <w:r>
              <w:rPr>
                <w:bCs/>
              </w:rPr>
              <w:t>TBD</w:t>
            </w:r>
          </w:p>
        </w:tc>
        <w:tc>
          <w:tcPr>
            <w:tcW w:w="3325" w:type="dxa"/>
          </w:tcPr>
          <w:p w14:paraId="35B507B5" w14:textId="08596F99" w:rsidR="00F44D51" w:rsidRPr="00634032" w:rsidRDefault="007B5EA1" w:rsidP="00003117">
            <w:pPr>
              <w:rPr>
                <w:bCs/>
              </w:rPr>
            </w:pPr>
            <w:r w:rsidRPr="00634032">
              <w:rPr>
                <w:bCs/>
              </w:rPr>
              <w:t>Use RF pull back</w:t>
            </w:r>
            <w:r w:rsidR="00B76D5F" w:rsidRPr="00634032">
              <w:rPr>
                <w:bCs/>
              </w:rPr>
              <w:t xml:space="preserve"> </w:t>
            </w:r>
            <w:r w:rsidR="00A95779">
              <w:rPr>
                <w:bCs/>
              </w:rPr>
              <w:t>monies</w:t>
            </w:r>
            <w:r w:rsidR="00234C13">
              <w:rPr>
                <w:bCs/>
              </w:rPr>
              <w:t xml:space="preserve"> </w:t>
            </w:r>
            <w:r w:rsidR="00B76D5F" w:rsidRPr="00634032">
              <w:rPr>
                <w:bCs/>
              </w:rPr>
              <w:t>– actual cost minus 2,500</w:t>
            </w:r>
          </w:p>
        </w:tc>
      </w:tr>
      <w:tr w:rsidR="007B5EA1" w:rsidRPr="00634032" w14:paraId="1B2C170B" w14:textId="77777777" w:rsidTr="00F44D51">
        <w:tc>
          <w:tcPr>
            <w:tcW w:w="2155" w:type="dxa"/>
          </w:tcPr>
          <w:p w14:paraId="0D51545E" w14:textId="0C37A8DA" w:rsidR="007B5EA1" w:rsidRPr="00634032" w:rsidRDefault="006B652A" w:rsidP="00003117">
            <w:pPr>
              <w:rPr>
                <w:bCs/>
              </w:rPr>
            </w:pPr>
            <w:r w:rsidRPr="00634032">
              <w:rPr>
                <w:bCs/>
              </w:rPr>
              <w:t xml:space="preserve">4) </w:t>
            </w:r>
            <w:r w:rsidR="007B5EA1" w:rsidRPr="00634032">
              <w:rPr>
                <w:bCs/>
              </w:rPr>
              <w:t>Foundations</w:t>
            </w:r>
          </w:p>
        </w:tc>
        <w:tc>
          <w:tcPr>
            <w:tcW w:w="1260" w:type="dxa"/>
          </w:tcPr>
          <w:p w14:paraId="041E58F1" w14:textId="6F1DC806" w:rsidR="007B5EA1" w:rsidRPr="00634032" w:rsidRDefault="007B5EA1" w:rsidP="00F44D51">
            <w:pPr>
              <w:jc w:val="center"/>
              <w:rPr>
                <w:bCs/>
              </w:rPr>
            </w:pPr>
            <w:r w:rsidRPr="00634032">
              <w:rPr>
                <w:bCs/>
                <w:highlight w:val="yellow"/>
              </w:rPr>
              <w:t>3,000</w:t>
            </w:r>
          </w:p>
        </w:tc>
        <w:tc>
          <w:tcPr>
            <w:tcW w:w="1170" w:type="dxa"/>
          </w:tcPr>
          <w:p w14:paraId="1B46D145" w14:textId="648F82B1" w:rsidR="007B5EA1" w:rsidRPr="00634032" w:rsidRDefault="007B5EA1" w:rsidP="00F44D51">
            <w:pPr>
              <w:jc w:val="center"/>
              <w:rPr>
                <w:bCs/>
              </w:rPr>
            </w:pPr>
            <w:r w:rsidRPr="00634032">
              <w:rPr>
                <w:bCs/>
              </w:rPr>
              <w:t>0</w:t>
            </w:r>
          </w:p>
        </w:tc>
        <w:tc>
          <w:tcPr>
            <w:tcW w:w="1440" w:type="dxa"/>
          </w:tcPr>
          <w:p w14:paraId="06D714FE" w14:textId="7095AB85" w:rsidR="007B5EA1" w:rsidRPr="00634032" w:rsidRDefault="007B5EA1" w:rsidP="00F44D51">
            <w:pPr>
              <w:jc w:val="center"/>
              <w:rPr>
                <w:bCs/>
              </w:rPr>
            </w:pPr>
            <w:r w:rsidRPr="00634032">
              <w:rPr>
                <w:bCs/>
              </w:rPr>
              <w:t>0</w:t>
            </w:r>
          </w:p>
        </w:tc>
        <w:tc>
          <w:tcPr>
            <w:tcW w:w="3325" w:type="dxa"/>
          </w:tcPr>
          <w:p w14:paraId="044D0E59" w14:textId="262071AD" w:rsidR="007B5EA1" w:rsidRPr="00634032" w:rsidRDefault="00960521" w:rsidP="00003117">
            <w:pPr>
              <w:rPr>
                <w:bCs/>
              </w:rPr>
            </w:pPr>
            <w:r w:rsidRPr="00634032">
              <w:rPr>
                <w:bCs/>
              </w:rPr>
              <w:t>Part of ABM</w:t>
            </w:r>
          </w:p>
        </w:tc>
      </w:tr>
      <w:tr w:rsidR="00F44D51" w:rsidRPr="00634032" w14:paraId="0AF7E5AD" w14:textId="77777777" w:rsidTr="00F44D51">
        <w:tc>
          <w:tcPr>
            <w:tcW w:w="2155" w:type="dxa"/>
          </w:tcPr>
          <w:p w14:paraId="72232A6E" w14:textId="57B5E34C" w:rsidR="00F44D51" w:rsidRPr="00634032" w:rsidRDefault="007B5EA1" w:rsidP="00003117">
            <w:pPr>
              <w:rPr>
                <w:b/>
                <w:i/>
                <w:iCs/>
              </w:rPr>
            </w:pPr>
            <w:r w:rsidRPr="00634032">
              <w:rPr>
                <w:b/>
                <w:i/>
                <w:iCs/>
              </w:rPr>
              <w:t>Undefined reserve area</w:t>
            </w:r>
          </w:p>
        </w:tc>
        <w:tc>
          <w:tcPr>
            <w:tcW w:w="1260" w:type="dxa"/>
          </w:tcPr>
          <w:p w14:paraId="4A1FBC37" w14:textId="77777777" w:rsidR="00F44D51" w:rsidRPr="00634032" w:rsidRDefault="00F44D51" w:rsidP="00F44D51">
            <w:pPr>
              <w:jc w:val="center"/>
              <w:rPr>
                <w:bCs/>
              </w:rPr>
            </w:pPr>
          </w:p>
        </w:tc>
        <w:tc>
          <w:tcPr>
            <w:tcW w:w="1170" w:type="dxa"/>
          </w:tcPr>
          <w:p w14:paraId="3E84665E" w14:textId="77777777" w:rsidR="00F44D51" w:rsidRPr="00634032" w:rsidRDefault="00F44D51" w:rsidP="00F44D51">
            <w:pPr>
              <w:jc w:val="center"/>
              <w:rPr>
                <w:bCs/>
              </w:rPr>
            </w:pPr>
          </w:p>
        </w:tc>
        <w:tc>
          <w:tcPr>
            <w:tcW w:w="1440" w:type="dxa"/>
          </w:tcPr>
          <w:p w14:paraId="7857FC90" w14:textId="77777777" w:rsidR="00F44D51" w:rsidRPr="00634032" w:rsidRDefault="00F44D51" w:rsidP="00F44D51">
            <w:pPr>
              <w:jc w:val="center"/>
              <w:rPr>
                <w:bCs/>
              </w:rPr>
            </w:pPr>
          </w:p>
        </w:tc>
        <w:tc>
          <w:tcPr>
            <w:tcW w:w="3325" w:type="dxa"/>
          </w:tcPr>
          <w:p w14:paraId="6281070A" w14:textId="77777777" w:rsidR="00F44D51" w:rsidRPr="00634032" w:rsidRDefault="00F44D51" w:rsidP="00003117">
            <w:pPr>
              <w:rPr>
                <w:bCs/>
              </w:rPr>
            </w:pPr>
          </w:p>
        </w:tc>
      </w:tr>
      <w:tr w:rsidR="007B5EA1" w:rsidRPr="00634032" w14:paraId="2D7E9DEE" w14:textId="77777777" w:rsidTr="00F44D51">
        <w:tc>
          <w:tcPr>
            <w:tcW w:w="2155" w:type="dxa"/>
          </w:tcPr>
          <w:p w14:paraId="534EA143" w14:textId="57DD3C0E" w:rsidR="007B5EA1" w:rsidRPr="00634032" w:rsidRDefault="006B652A" w:rsidP="00003117">
            <w:pPr>
              <w:rPr>
                <w:bCs/>
              </w:rPr>
            </w:pPr>
            <w:r w:rsidRPr="00634032">
              <w:rPr>
                <w:bCs/>
              </w:rPr>
              <w:t xml:space="preserve">1) </w:t>
            </w:r>
            <w:r w:rsidR="00234C13">
              <w:rPr>
                <w:bCs/>
              </w:rPr>
              <w:t>Siding inspection project</w:t>
            </w:r>
          </w:p>
        </w:tc>
        <w:tc>
          <w:tcPr>
            <w:tcW w:w="1260" w:type="dxa"/>
          </w:tcPr>
          <w:p w14:paraId="0A8D69E0" w14:textId="5DB27A27" w:rsidR="007B5EA1" w:rsidRPr="00634032" w:rsidRDefault="007B5EA1" w:rsidP="00F44D51">
            <w:pPr>
              <w:jc w:val="center"/>
              <w:rPr>
                <w:bCs/>
              </w:rPr>
            </w:pPr>
            <w:r w:rsidRPr="00634032">
              <w:rPr>
                <w:bCs/>
              </w:rPr>
              <w:t>0</w:t>
            </w:r>
          </w:p>
        </w:tc>
        <w:tc>
          <w:tcPr>
            <w:tcW w:w="1170" w:type="dxa"/>
          </w:tcPr>
          <w:p w14:paraId="6E236461" w14:textId="6FB6624E" w:rsidR="007B5EA1" w:rsidRPr="00634032" w:rsidRDefault="00234C13" w:rsidP="00F44D51">
            <w:pPr>
              <w:jc w:val="center"/>
              <w:rPr>
                <w:bCs/>
              </w:rPr>
            </w:pPr>
            <w:r>
              <w:rPr>
                <w:bCs/>
              </w:rPr>
              <w:t>TBD</w:t>
            </w:r>
          </w:p>
        </w:tc>
        <w:tc>
          <w:tcPr>
            <w:tcW w:w="1440" w:type="dxa"/>
          </w:tcPr>
          <w:p w14:paraId="5ECECB4E" w14:textId="4606A5A1" w:rsidR="007B5EA1" w:rsidRPr="00634032" w:rsidRDefault="0069602A" w:rsidP="00F44D51">
            <w:pPr>
              <w:jc w:val="center"/>
              <w:rPr>
                <w:bCs/>
              </w:rPr>
            </w:pPr>
            <w:r w:rsidRPr="00634032">
              <w:rPr>
                <w:bCs/>
              </w:rPr>
              <w:t>0</w:t>
            </w:r>
          </w:p>
        </w:tc>
        <w:tc>
          <w:tcPr>
            <w:tcW w:w="3325" w:type="dxa"/>
          </w:tcPr>
          <w:p w14:paraId="6AA12A50" w14:textId="77777777" w:rsidR="007B5EA1" w:rsidRDefault="00960521" w:rsidP="00003117">
            <w:pPr>
              <w:rPr>
                <w:bCs/>
              </w:rPr>
            </w:pPr>
            <w:r w:rsidRPr="00634032">
              <w:rPr>
                <w:bCs/>
              </w:rPr>
              <w:t>Use part of ABM</w:t>
            </w:r>
            <w:r w:rsidR="00006277" w:rsidRPr="00634032">
              <w:rPr>
                <w:bCs/>
              </w:rPr>
              <w:t xml:space="preserve"> (</w:t>
            </w:r>
            <w:r w:rsidR="00234C13">
              <w:rPr>
                <w:bCs/>
              </w:rPr>
              <w:t>TBD</w:t>
            </w:r>
            <w:r w:rsidR="00006277" w:rsidRPr="00634032">
              <w:rPr>
                <w:bCs/>
              </w:rPr>
              <w:t>)</w:t>
            </w:r>
          </w:p>
          <w:p w14:paraId="3E5A6918" w14:textId="13588F25" w:rsidR="004D2BCF" w:rsidRPr="00634032" w:rsidRDefault="004D2BCF" w:rsidP="00003117">
            <w:pPr>
              <w:rPr>
                <w:bCs/>
              </w:rPr>
            </w:pPr>
            <w:r>
              <w:rPr>
                <w:bCs/>
              </w:rPr>
              <w:t>See Note 4</w:t>
            </w:r>
          </w:p>
        </w:tc>
      </w:tr>
      <w:tr w:rsidR="00234C13" w:rsidRPr="00634032" w14:paraId="41AA4734" w14:textId="77777777" w:rsidTr="00F44D51">
        <w:tc>
          <w:tcPr>
            <w:tcW w:w="2155" w:type="dxa"/>
          </w:tcPr>
          <w:p w14:paraId="238927BC" w14:textId="4C2327F0" w:rsidR="00234C13" w:rsidRPr="00634032" w:rsidRDefault="00234C13" w:rsidP="00234C13">
            <w:pPr>
              <w:rPr>
                <w:bCs/>
              </w:rPr>
            </w:pPr>
            <w:r>
              <w:rPr>
                <w:bCs/>
              </w:rPr>
              <w:t>2) Foundations/Brodie Wall inspection project</w:t>
            </w:r>
          </w:p>
        </w:tc>
        <w:tc>
          <w:tcPr>
            <w:tcW w:w="1260" w:type="dxa"/>
          </w:tcPr>
          <w:p w14:paraId="5FC61A95" w14:textId="7BBFF9DA" w:rsidR="00234C13" w:rsidRPr="00634032" w:rsidRDefault="00234C13" w:rsidP="00234C13">
            <w:pPr>
              <w:jc w:val="center"/>
              <w:rPr>
                <w:bCs/>
              </w:rPr>
            </w:pPr>
            <w:r>
              <w:rPr>
                <w:bCs/>
              </w:rPr>
              <w:t>0</w:t>
            </w:r>
          </w:p>
        </w:tc>
        <w:tc>
          <w:tcPr>
            <w:tcW w:w="1170" w:type="dxa"/>
          </w:tcPr>
          <w:p w14:paraId="4DF6A450" w14:textId="5699EE4D" w:rsidR="00234C13" w:rsidRPr="00634032" w:rsidRDefault="00234C13" w:rsidP="00234C13">
            <w:pPr>
              <w:jc w:val="center"/>
              <w:rPr>
                <w:bCs/>
              </w:rPr>
            </w:pPr>
            <w:r>
              <w:rPr>
                <w:bCs/>
              </w:rPr>
              <w:t>6,600</w:t>
            </w:r>
          </w:p>
        </w:tc>
        <w:tc>
          <w:tcPr>
            <w:tcW w:w="1440" w:type="dxa"/>
          </w:tcPr>
          <w:p w14:paraId="0A0A7745" w14:textId="2BCA8833" w:rsidR="00234C13" w:rsidRPr="00634032" w:rsidRDefault="004E4440" w:rsidP="00234C13">
            <w:pPr>
              <w:jc w:val="center"/>
              <w:rPr>
                <w:bCs/>
              </w:rPr>
            </w:pPr>
            <w:r>
              <w:rPr>
                <w:bCs/>
              </w:rPr>
              <w:t>0</w:t>
            </w:r>
          </w:p>
        </w:tc>
        <w:tc>
          <w:tcPr>
            <w:tcW w:w="3325" w:type="dxa"/>
          </w:tcPr>
          <w:p w14:paraId="6A05CBB2" w14:textId="77777777" w:rsidR="00234C13" w:rsidRDefault="00234C13" w:rsidP="00234C13">
            <w:pPr>
              <w:rPr>
                <w:bCs/>
              </w:rPr>
            </w:pPr>
            <w:r w:rsidRPr="00634032">
              <w:rPr>
                <w:bCs/>
              </w:rPr>
              <w:t>Use part of ABM (</w:t>
            </w:r>
            <w:r>
              <w:rPr>
                <w:bCs/>
              </w:rPr>
              <w:t>6,600</w:t>
            </w:r>
            <w:r w:rsidRPr="00634032">
              <w:rPr>
                <w:bCs/>
              </w:rPr>
              <w:t>)</w:t>
            </w:r>
          </w:p>
          <w:p w14:paraId="4E8E3C40" w14:textId="191334B3" w:rsidR="004D2BCF" w:rsidRPr="00634032" w:rsidRDefault="004D2BCF" w:rsidP="00234C13">
            <w:pPr>
              <w:rPr>
                <w:bCs/>
              </w:rPr>
            </w:pPr>
            <w:r>
              <w:rPr>
                <w:bCs/>
              </w:rPr>
              <w:t>See Note 4</w:t>
            </w:r>
          </w:p>
        </w:tc>
      </w:tr>
      <w:tr w:rsidR="00234C13" w:rsidRPr="00634032" w14:paraId="6F132DFE" w14:textId="77777777" w:rsidTr="00F44D51">
        <w:tc>
          <w:tcPr>
            <w:tcW w:w="2155" w:type="dxa"/>
          </w:tcPr>
          <w:p w14:paraId="400C6705" w14:textId="5B882E8B" w:rsidR="00234C13" w:rsidRPr="00634032" w:rsidRDefault="00234C13" w:rsidP="00234C13">
            <w:pPr>
              <w:jc w:val="right"/>
              <w:rPr>
                <w:bCs/>
              </w:rPr>
            </w:pPr>
            <w:r w:rsidRPr="00634032">
              <w:rPr>
                <w:bCs/>
              </w:rPr>
              <w:t>TOTAL</w:t>
            </w:r>
          </w:p>
        </w:tc>
        <w:tc>
          <w:tcPr>
            <w:tcW w:w="1260" w:type="dxa"/>
          </w:tcPr>
          <w:p w14:paraId="36D90927" w14:textId="4446EE63" w:rsidR="00234C13" w:rsidRPr="00634032" w:rsidRDefault="00234C13" w:rsidP="00234C13">
            <w:pPr>
              <w:jc w:val="center"/>
              <w:rPr>
                <w:bCs/>
              </w:rPr>
            </w:pPr>
            <w:r>
              <w:rPr>
                <w:bCs/>
              </w:rPr>
              <w:t>1</w:t>
            </w:r>
            <w:r w:rsidR="00B536D5">
              <w:rPr>
                <w:bCs/>
              </w:rPr>
              <w:t>7</w:t>
            </w:r>
            <w:r w:rsidRPr="00634032">
              <w:rPr>
                <w:bCs/>
              </w:rPr>
              <w:t>,</w:t>
            </w:r>
            <w:r w:rsidR="00B536D5">
              <w:rPr>
                <w:bCs/>
              </w:rPr>
              <w:t>9</w:t>
            </w:r>
            <w:r>
              <w:rPr>
                <w:bCs/>
              </w:rPr>
              <w:t>00</w:t>
            </w:r>
          </w:p>
        </w:tc>
        <w:tc>
          <w:tcPr>
            <w:tcW w:w="1170" w:type="dxa"/>
          </w:tcPr>
          <w:p w14:paraId="3F40EAF2" w14:textId="02BBD7BD" w:rsidR="00234C13" w:rsidRPr="00634032" w:rsidRDefault="004D2BCF" w:rsidP="00234C13">
            <w:pPr>
              <w:jc w:val="center"/>
              <w:rPr>
                <w:bCs/>
              </w:rPr>
            </w:pPr>
            <w:r>
              <w:rPr>
                <w:bCs/>
              </w:rPr>
              <w:t>?????</w:t>
            </w:r>
          </w:p>
        </w:tc>
        <w:tc>
          <w:tcPr>
            <w:tcW w:w="1440" w:type="dxa"/>
          </w:tcPr>
          <w:p w14:paraId="38820E38" w14:textId="28C150C5" w:rsidR="00234C13" w:rsidRPr="00634032" w:rsidRDefault="004D2BCF" w:rsidP="00234C13">
            <w:pPr>
              <w:jc w:val="center"/>
              <w:rPr>
                <w:bCs/>
              </w:rPr>
            </w:pPr>
            <w:r>
              <w:rPr>
                <w:bCs/>
              </w:rPr>
              <w:t>?????</w:t>
            </w:r>
          </w:p>
        </w:tc>
        <w:tc>
          <w:tcPr>
            <w:tcW w:w="3325" w:type="dxa"/>
          </w:tcPr>
          <w:p w14:paraId="70685F0B" w14:textId="5F8439FB" w:rsidR="00234C13" w:rsidRPr="00634032" w:rsidRDefault="00234C13" w:rsidP="00234C13">
            <w:pPr>
              <w:rPr>
                <w:b/>
                <w:i/>
                <w:iCs/>
              </w:rPr>
            </w:pPr>
          </w:p>
        </w:tc>
      </w:tr>
    </w:tbl>
    <w:p w14:paraId="579B9579" w14:textId="77777777" w:rsidR="00A6014A" w:rsidRDefault="00A6014A" w:rsidP="00003117">
      <w:pPr>
        <w:rPr>
          <w:bCs/>
        </w:rPr>
      </w:pPr>
    </w:p>
    <w:p w14:paraId="612E2A1F" w14:textId="4B78309E" w:rsidR="00681D97" w:rsidRPr="00634032" w:rsidRDefault="00681D97" w:rsidP="00003117">
      <w:pPr>
        <w:rPr>
          <w:bCs/>
        </w:rPr>
      </w:pPr>
    </w:p>
    <w:p w14:paraId="5507FC40" w14:textId="6775DC21" w:rsidR="00003117" w:rsidRPr="00634032" w:rsidRDefault="00F44D51" w:rsidP="00003117">
      <w:pPr>
        <w:jc w:val="both"/>
        <w:rPr>
          <w:b/>
          <w:u w:val="single"/>
        </w:rPr>
      </w:pPr>
      <w:r w:rsidRPr="00634032">
        <w:rPr>
          <w:b/>
          <w:u w:val="single"/>
        </w:rPr>
        <w:t>NOTES</w:t>
      </w:r>
    </w:p>
    <w:p w14:paraId="7B670765" w14:textId="77777777" w:rsidR="00F44D51" w:rsidRDefault="00F44D51" w:rsidP="00003117">
      <w:pPr>
        <w:jc w:val="both"/>
        <w:rPr>
          <w:b/>
          <w:u w:val="single"/>
        </w:rPr>
      </w:pPr>
    </w:p>
    <w:p w14:paraId="2EB9037B" w14:textId="00CC8074" w:rsidR="00A95779" w:rsidRPr="00EB49DA" w:rsidRDefault="00A95779" w:rsidP="00A95779">
      <w:pPr>
        <w:jc w:val="both"/>
        <w:rPr>
          <w:bCs/>
          <w:color w:val="FFFF00"/>
        </w:rPr>
      </w:pPr>
      <w:r>
        <w:rPr>
          <w:bCs/>
        </w:rPr>
        <w:t>1</w:t>
      </w:r>
      <w:r w:rsidRPr="00634032">
        <w:rPr>
          <w:bCs/>
        </w:rPr>
        <w:t>) The yellow highlighted items are</w:t>
      </w:r>
      <w:r w:rsidR="00565787">
        <w:rPr>
          <w:bCs/>
        </w:rPr>
        <w:t xml:space="preserve"> premised</w:t>
      </w:r>
      <w:r w:rsidRPr="00634032">
        <w:rPr>
          <w:bCs/>
        </w:rPr>
        <w:t xml:space="preserve"> </w:t>
      </w:r>
      <w:r w:rsidRPr="00EB49DA">
        <w:rPr>
          <w:bCs/>
          <w:highlight w:val="yellow"/>
        </w:rPr>
        <w:t>available budget monies [ABM].</w:t>
      </w:r>
    </w:p>
    <w:p w14:paraId="03855FCE" w14:textId="77777777" w:rsidR="00A95779" w:rsidRDefault="00A95779" w:rsidP="00003117">
      <w:pPr>
        <w:jc w:val="both"/>
        <w:rPr>
          <w:b/>
          <w:u w:val="single"/>
        </w:rPr>
      </w:pPr>
    </w:p>
    <w:p w14:paraId="2C5D8740" w14:textId="36773091" w:rsidR="00A95779" w:rsidRDefault="00A95779" w:rsidP="00A95779">
      <w:pPr>
        <w:rPr>
          <w:bCs/>
        </w:rPr>
      </w:pPr>
      <w:r>
        <w:rPr>
          <w:bCs/>
        </w:rPr>
        <w:t>2</w:t>
      </w:r>
      <w:r w:rsidRPr="00A95779">
        <w:rPr>
          <w:bCs/>
        </w:rPr>
        <w:t xml:space="preserve">) </w:t>
      </w:r>
      <w:r>
        <w:rPr>
          <w:bCs/>
        </w:rPr>
        <w:t xml:space="preserve">Having </w:t>
      </w:r>
      <w:r w:rsidR="004D2BCF">
        <w:rPr>
          <w:bCs/>
        </w:rPr>
        <w:t xml:space="preserve">an </w:t>
      </w:r>
      <w:r>
        <w:rPr>
          <w:bCs/>
        </w:rPr>
        <w:t xml:space="preserve">ABM of $13,000 </w:t>
      </w:r>
      <w:r w:rsidR="00565787">
        <w:rPr>
          <w:bCs/>
        </w:rPr>
        <w:t xml:space="preserve">may or may not cover the underfunded needs – which are </w:t>
      </w:r>
      <w:r w:rsidR="00B536D5">
        <w:rPr>
          <w:bCs/>
        </w:rPr>
        <w:t>documented</w:t>
      </w:r>
      <w:r w:rsidR="004D2BCF">
        <w:rPr>
          <w:bCs/>
        </w:rPr>
        <w:t xml:space="preserve"> </w:t>
      </w:r>
      <w:r>
        <w:rPr>
          <w:bCs/>
        </w:rPr>
        <w:t xml:space="preserve">with </w:t>
      </w:r>
      <w:r w:rsidR="00565787">
        <w:rPr>
          <w:bCs/>
        </w:rPr>
        <w:t xml:space="preserve">a known $6,600 and </w:t>
      </w:r>
      <w:r w:rsidR="00B536D5">
        <w:rPr>
          <w:bCs/>
        </w:rPr>
        <w:t xml:space="preserve">three </w:t>
      </w:r>
      <w:r w:rsidR="00565787">
        <w:rPr>
          <w:bCs/>
        </w:rPr>
        <w:t>unknown TBD</w:t>
      </w:r>
      <w:r w:rsidR="00B536D5">
        <w:rPr>
          <w:bCs/>
        </w:rPr>
        <w:t>’s</w:t>
      </w:r>
      <w:r w:rsidR="004D2BCF">
        <w:rPr>
          <w:bCs/>
        </w:rPr>
        <w:t xml:space="preserve"> at this time.</w:t>
      </w:r>
    </w:p>
    <w:p w14:paraId="3F0469C4" w14:textId="77777777" w:rsidR="00A95779" w:rsidRPr="00634032" w:rsidRDefault="00A95779" w:rsidP="00003117">
      <w:pPr>
        <w:jc w:val="both"/>
        <w:rPr>
          <w:b/>
          <w:u w:val="single"/>
        </w:rPr>
      </w:pPr>
    </w:p>
    <w:p w14:paraId="4DB6E50B" w14:textId="3E04CB4C" w:rsidR="00F44D51" w:rsidRPr="004D2BCF" w:rsidRDefault="00A95779" w:rsidP="00003117">
      <w:pPr>
        <w:jc w:val="both"/>
        <w:rPr>
          <w:b/>
          <w:i/>
          <w:iCs/>
        </w:rPr>
      </w:pPr>
      <w:r>
        <w:rPr>
          <w:bCs/>
        </w:rPr>
        <w:t>3</w:t>
      </w:r>
      <w:r w:rsidR="00F44D51" w:rsidRPr="00634032">
        <w:rPr>
          <w:bCs/>
        </w:rPr>
        <w:t xml:space="preserve">) The bold red italics values are a </w:t>
      </w:r>
      <w:r w:rsidR="00960521" w:rsidRPr="00634032">
        <w:rPr>
          <w:bCs/>
        </w:rPr>
        <w:t>WAG (wild ass guess)</w:t>
      </w:r>
      <w:r w:rsidR="00F44D51" w:rsidRPr="00634032">
        <w:rPr>
          <w:bCs/>
        </w:rPr>
        <w:t xml:space="preserve"> based on the information we have currently.</w:t>
      </w:r>
      <w:r w:rsidR="00583EFD" w:rsidRPr="00634032">
        <w:rPr>
          <w:bCs/>
        </w:rPr>
        <w:t xml:space="preserve"> </w:t>
      </w:r>
      <w:r w:rsidR="00960521" w:rsidRPr="00634032">
        <w:rPr>
          <w:bCs/>
        </w:rPr>
        <w:t>We will need to replace the values with our “best estimate” as we continue to obtain better information</w:t>
      </w:r>
      <w:r w:rsidR="0069602A" w:rsidRPr="00634032">
        <w:rPr>
          <w:bCs/>
        </w:rPr>
        <w:t>.</w:t>
      </w:r>
      <w:r w:rsidR="006B652A" w:rsidRPr="00634032">
        <w:rPr>
          <w:bCs/>
        </w:rPr>
        <w:t xml:space="preserve">  </w:t>
      </w:r>
      <w:r w:rsidR="004D2BCF" w:rsidRPr="004D2BCF">
        <w:rPr>
          <w:b/>
          <w:i/>
          <w:iCs/>
        </w:rPr>
        <w:t>we have made no WAG estimates to date</w:t>
      </w:r>
    </w:p>
    <w:p w14:paraId="3BC1EEAC" w14:textId="15D00792" w:rsidR="00583EFD" w:rsidRDefault="007B5EA1" w:rsidP="00003117">
      <w:pPr>
        <w:jc w:val="both"/>
        <w:rPr>
          <w:bCs/>
        </w:rPr>
      </w:pPr>
      <w:r w:rsidRPr="00634032">
        <w:rPr>
          <w:bCs/>
        </w:rPr>
        <w:t xml:space="preserve"> </w:t>
      </w:r>
    </w:p>
    <w:p w14:paraId="233DDD96" w14:textId="556200EE" w:rsidR="004D2BCF" w:rsidRPr="00634032" w:rsidRDefault="004D2BCF" w:rsidP="00003117">
      <w:pPr>
        <w:jc w:val="both"/>
        <w:rPr>
          <w:bCs/>
        </w:rPr>
      </w:pPr>
      <w:r>
        <w:rPr>
          <w:bCs/>
        </w:rPr>
        <w:t xml:space="preserve">4) IMPORTANT NOTE: There has been a paradigm change from 2023 to 2024 relative to where the three “inspection projects” that have been conceptually approved by the board (one in 2023, two in 2024) are charged. In 2023 the first inspection (roof inspection) was planned as an Operating Fund expense. Upon further analysis, the Finance Team </w:t>
      </w:r>
      <w:r w:rsidR="004E4440">
        <w:rPr>
          <w:bCs/>
        </w:rPr>
        <w:t xml:space="preserve">thinks the right allocation of the remaining two inspections (siding, foundations/Brodie Wall) should to the Reserve Fund [NOTE: there will be no attempt to change the closed out 2023 financial results based on this paradigm change]. </w:t>
      </w:r>
      <w:r>
        <w:rPr>
          <w:bCs/>
        </w:rPr>
        <w:t xml:space="preserve">  </w:t>
      </w:r>
    </w:p>
    <w:p w14:paraId="41F2C33C" w14:textId="77777777" w:rsidR="0069602A" w:rsidRPr="00634032" w:rsidRDefault="0069602A" w:rsidP="00003117">
      <w:pPr>
        <w:jc w:val="both"/>
        <w:rPr>
          <w:bCs/>
        </w:rPr>
      </w:pPr>
    </w:p>
    <w:p w14:paraId="31194BD1" w14:textId="70A509B8" w:rsidR="00003117" w:rsidRDefault="00A95779" w:rsidP="00D03484">
      <w:pPr>
        <w:jc w:val="both"/>
        <w:rPr>
          <w:b/>
          <w:sz w:val="24"/>
          <w:u w:val="single"/>
        </w:rPr>
      </w:pPr>
      <w:r>
        <w:rPr>
          <w:bCs/>
        </w:rPr>
        <w:t>5</w:t>
      </w:r>
      <w:r w:rsidR="0069602A" w:rsidRPr="00634032">
        <w:rPr>
          <w:bCs/>
        </w:rPr>
        <w:t xml:space="preserve">) With the current </w:t>
      </w:r>
      <w:r w:rsidR="000D268E">
        <w:rPr>
          <w:bCs/>
        </w:rPr>
        <w:t>table expense</w:t>
      </w:r>
      <w:r w:rsidR="0069602A" w:rsidRPr="00634032">
        <w:rPr>
          <w:bCs/>
        </w:rPr>
        <w:t xml:space="preserve"> values</w:t>
      </w:r>
      <w:r w:rsidR="00B76D5F" w:rsidRPr="00634032">
        <w:rPr>
          <w:bCs/>
        </w:rPr>
        <w:t xml:space="preserve">, we </w:t>
      </w:r>
      <w:r w:rsidR="00565787">
        <w:rPr>
          <w:bCs/>
        </w:rPr>
        <w:t xml:space="preserve">may or may not have </w:t>
      </w:r>
      <w:r w:rsidR="004F4C59" w:rsidRPr="00634032">
        <w:rPr>
          <w:bCs/>
        </w:rPr>
        <w:t xml:space="preserve">unspent project monies </w:t>
      </w:r>
      <w:r w:rsidR="00565787">
        <w:rPr>
          <w:bCs/>
        </w:rPr>
        <w:t xml:space="preserve">available to return </w:t>
      </w:r>
      <w:r w:rsidR="004F4C59" w:rsidRPr="00634032">
        <w:rPr>
          <w:bCs/>
        </w:rPr>
        <w:t>to the Reserve Fund at year end</w:t>
      </w:r>
      <w:r w:rsidR="000D268E">
        <w:rPr>
          <w:bCs/>
        </w:rPr>
        <w:t xml:space="preserve"> – that is </w:t>
      </w:r>
      <w:r w:rsidR="000D268E" w:rsidRPr="000D268E">
        <w:rPr>
          <w:bCs/>
          <w:u w:val="single"/>
        </w:rPr>
        <w:t xml:space="preserve">without </w:t>
      </w:r>
      <w:proofErr w:type="gramStart"/>
      <w:r w:rsidR="000D268E" w:rsidRPr="000D268E">
        <w:rPr>
          <w:bCs/>
          <w:u w:val="single"/>
        </w:rPr>
        <w:t>taking into account</w:t>
      </w:r>
      <w:proofErr w:type="gramEnd"/>
      <w:r w:rsidR="000D268E">
        <w:rPr>
          <w:bCs/>
        </w:rPr>
        <w:t xml:space="preserve"> the pulled back RF monies for </w:t>
      </w:r>
      <w:r w:rsidR="00565787">
        <w:rPr>
          <w:bCs/>
        </w:rPr>
        <w:t>one</w:t>
      </w:r>
      <w:r w:rsidR="004D2BCF">
        <w:rPr>
          <w:bCs/>
        </w:rPr>
        <w:t xml:space="preserve"> </w:t>
      </w:r>
      <w:r w:rsidR="000D268E">
        <w:rPr>
          <w:bCs/>
        </w:rPr>
        <w:t>line item (driveways). T</w:t>
      </w:r>
      <w:r w:rsidR="004F4C59" w:rsidRPr="00634032">
        <w:rPr>
          <w:bCs/>
        </w:rPr>
        <w:t>his is in addition to the planned savings monies</w:t>
      </w:r>
      <w:r w:rsidR="00CC714B">
        <w:rPr>
          <w:bCs/>
        </w:rPr>
        <w:t xml:space="preserve"> of $</w:t>
      </w:r>
      <w:r w:rsidR="00565787">
        <w:rPr>
          <w:bCs/>
        </w:rPr>
        <w:t>4</w:t>
      </w:r>
      <w:r w:rsidR="00CC714B">
        <w:rPr>
          <w:bCs/>
        </w:rPr>
        <w:t>6,5</w:t>
      </w:r>
      <w:r w:rsidR="00565787">
        <w:rPr>
          <w:bCs/>
        </w:rPr>
        <w:t>4</w:t>
      </w:r>
      <w:r w:rsidR="00CC714B">
        <w:rPr>
          <w:bCs/>
        </w:rPr>
        <w:t>0</w:t>
      </w:r>
      <w:r w:rsidR="004F4C59" w:rsidRPr="00634032">
        <w:rPr>
          <w:bCs/>
        </w:rPr>
        <w:t>.</w:t>
      </w:r>
      <w:r w:rsidR="00634032">
        <w:rPr>
          <w:bCs/>
        </w:rPr>
        <w:t xml:space="preserve"> </w:t>
      </w:r>
      <w:r w:rsidR="00565787">
        <w:rPr>
          <w:bCs/>
        </w:rPr>
        <w:t>The full plan has $64,440 of revenue, $17,900 of project expenses, and $46,540 of savings to build up our RF saved monies for future projects.</w:t>
      </w:r>
      <w:r w:rsidR="00CC714B">
        <w:rPr>
          <w:bCs/>
        </w:rPr>
        <w:t xml:space="preserve"> </w:t>
      </w:r>
    </w:p>
    <w:sectPr w:rsidR="00003117" w:rsidSect="004E4440">
      <w:footerReference w:type="default" r:id="rId7"/>
      <w:pgSz w:w="12240" w:h="15840"/>
      <w:pgMar w:top="1008" w:right="1296" w:bottom="100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4389F" w14:textId="77777777" w:rsidR="008C36B3" w:rsidRDefault="008C36B3" w:rsidP="007031D8">
      <w:r>
        <w:separator/>
      </w:r>
    </w:p>
  </w:endnote>
  <w:endnote w:type="continuationSeparator" w:id="0">
    <w:p w14:paraId="3EB717FC" w14:textId="77777777" w:rsidR="008C36B3" w:rsidRDefault="008C36B3" w:rsidP="0070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0A6E" w14:textId="1D48C141" w:rsidR="007031D8" w:rsidRDefault="007031D8">
    <w:pPr>
      <w:pStyle w:val="Footer"/>
      <w:jc w:val="center"/>
    </w:pPr>
    <w:r>
      <w:t xml:space="preserve">                                                                                       </w:t>
    </w:r>
    <w:r>
      <w:fldChar w:fldCharType="begin"/>
    </w:r>
    <w:r>
      <w:instrText xml:space="preserve"> PAGE   \* MERGEFORMAT </w:instrText>
    </w:r>
    <w:r>
      <w:fldChar w:fldCharType="separate"/>
    </w:r>
    <w:r w:rsidR="00FD1CA9">
      <w:rPr>
        <w:noProof/>
      </w:rPr>
      <w:t>1</w:t>
    </w:r>
    <w:r>
      <w:fldChar w:fldCharType="end"/>
    </w:r>
    <w:r>
      <w:t xml:space="preserve">                                            </w:t>
    </w:r>
    <w:r w:rsidR="00B6712E">
      <w:t xml:space="preserve">                  </w:t>
    </w:r>
    <w:r>
      <w:t xml:space="preserve">           </w:t>
    </w:r>
    <w:r w:rsidR="004930D8">
      <w:t>6</w:t>
    </w:r>
    <w:r w:rsidR="00B6712E">
      <w:t>/</w:t>
    </w:r>
    <w:r w:rsidR="00214643">
      <w:t>15</w:t>
    </w:r>
    <w:r w:rsidR="007B0629">
      <w:t>/</w:t>
    </w:r>
    <w:r w:rsidR="00D6601B">
      <w:t>2</w:t>
    </w:r>
    <w:r w:rsidR="004930D8">
      <w:t>4</w:t>
    </w:r>
  </w:p>
  <w:p w14:paraId="46F3E49E" w14:textId="77777777" w:rsidR="007031D8" w:rsidRDefault="00703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75E2C" w14:textId="77777777" w:rsidR="008C36B3" w:rsidRDefault="008C36B3" w:rsidP="007031D8">
      <w:r>
        <w:separator/>
      </w:r>
    </w:p>
  </w:footnote>
  <w:footnote w:type="continuationSeparator" w:id="0">
    <w:p w14:paraId="340456B5" w14:textId="77777777" w:rsidR="008C36B3" w:rsidRDefault="008C36B3" w:rsidP="00703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87565"/>
    <w:multiLevelType w:val="hybridMultilevel"/>
    <w:tmpl w:val="FA52A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0159A"/>
    <w:multiLevelType w:val="hybridMultilevel"/>
    <w:tmpl w:val="C3A04A4A"/>
    <w:lvl w:ilvl="0" w:tplc="DB2A586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07F36"/>
    <w:multiLevelType w:val="hybridMultilevel"/>
    <w:tmpl w:val="EB76B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57940"/>
    <w:multiLevelType w:val="hybridMultilevel"/>
    <w:tmpl w:val="76263152"/>
    <w:lvl w:ilvl="0" w:tplc="65C6C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42F83"/>
    <w:multiLevelType w:val="hybridMultilevel"/>
    <w:tmpl w:val="6BA4F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B0336"/>
    <w:multiLevelType w:val="hybridMultilevel"/>
    <w:tmpl w:val="30B86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30F92"/>
    <w:multiLevelType w:val="singleLevel"/>
    <w:tmpl w:val="EA00AE0C"/>
    <w:lvl w:ilvl="0">
      <w:start w:val="1"/>
      <w:numFmt w:val="upperLetter"/>
      <w:lvlText w:val="%1)"/>
      <w:lvlJc w:val="left"/>
      <w:pPr>
        <w:tabs>
          <w:tab w:val="num" w:pos="360"/>
        </w:tabs>
        <w:ind w:left="360" w:hanging="360"/>
      </w:pPr>
      <w:rPr>
        <w:rFonts w:hint="default"/>
      </w:rPr>
    </w:lvl>
  </w:abstractNum>
  <w:abstractNum w:abstractNumId="7" w15:restartNumberingAfterBreak="0">
    <w:nsid w:val="5C0574B9"/>
    <w:multiLevelType w:val="hybridMultilevel"/>
    <w:tmpl w:val="7E18CA88"/>
    <w:lvl w:ilvl="0" w:tplc="C494D762">
      <w:start w:val="201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60CFD"/>
    <w:multiLevelType w:val="hybridMultilevel"/>
    <w:tmpl w:val="DA12A212"/>
    <w:lvl w:ilvl="0" w:tplc="277E6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63118B"/>
    <w:multiLevelType w:val="hybridMultilevel"/>
    <w:tmpl w:val="4928C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AF6E9F"/>
    <w:multiLevelType w:val="hybridMultilevel"/>
    <w:tmpl w:val="3CF05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9D75FB"/>
    <w:multiLevelType w:val="hybridMultilevel"/>
    <w:tmpl w:val="908E2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CF2CDA"/>
    <w:multiLevelType w:val="hybridMultilevel"/>
    <w:tmpl w:val="5EC29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834625">
    <w:abstractNumId w:val="6"/>
  </w:num>
  <w:num w:numId="2" w16cid:durableId="557477549">
    <w:abstractNumId w:val="12"/>
  </w:num>
  <w:num w:numId="3" w16cid:durableId="1560632465">
    <w:abstractNumId w:val="2"/>
  </w:num>
  <w:num w:numId="4" w16cid:durableId="1306349152">
    <w:abstractNumId w:val="0"/>
  </w:num>
  <w:num w:numId="5" w16cid:durableId="454786803">
    <w:abstractNumId w:val="10"/>
  </w:num>
  <w:num w:numId="6" w16cid:durableId="1481075395">
    <w:abstractNumId w:val="9"/>
  </w:num>
  <w:num w:numId="7" w16cid:durableId="271404559">
    <w:abstractNumId w:val="7"/>
  </w:num>
  <w:num w:numId="8" w16cid:durableId="416634002">
    <w:abstractNumId w:val="4"/>
  </w:num>
  <w:num w:numId="9" w16cid:durableId="800001712">
    <w:abstractNumId w:val="3"/>
  </w:num>
  <w:num w:numId="10" w16cid:durableId="1833643396">
    <w:abstractNumId w:val="1"/>
  </w:num>
  <w:num w:numId="11" w16cid:durableId="1941180343">
    <w:abstractNumId w:val="8"/>
  </w:num>
  <w:num w:numId="12" w16cid:durableId="1704746347">
    <w:abstractNumId w:val="5"/>
  </w:num>
  <w:num w:numId="13" w16cid:durableId="13028043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92"/>
    <w:rsid w:val="00003117"/>
    <w:rsid w:val="00006277"/>
    <w:rsid w:val="00012CD5"/>
    <w:rsid w:val="00012D2C"/>
    <w:rsid w:val="00014602"/>
    <w:rsid w:val="0002110B"/>
    <w:rsid w:val="000227E2"/>
    <w:rsid w:val="0003651A"/>
    <w:rsid w:val="00041106"/>
    <w:rsid w:val="000447B5"/>
    <w:rsid w:val="00047010"/>
    <w:rsid w:val="00052F65"/>
    <w:rsid w:val="000558BE"/>
    <w:rsid w:val="000642E4"/>
    <w:rsid w:val="00070964"/>
    <w:rsid w:val="00071D86"/>
    <w:rsid w:val="000739BD"/>
    <w:rsid w:val="00074DB5"/>
    <w:rsid w:val="00080532"/>
    <w:rsid w:val="00082D56"/>
    <w:rsid w:val="000850C1"/>
    <w:rsid w:val="00086830"/>
    <w:rsid w:val="00092562"/>
    <w:rsid w:val="000928D8"/>
    <w:rsid w:val="00096364"/>
    <w:rsid w:val="00097DF9"/>
    <w:rsid w:val="000B0B6E"/>
    <w:rsid w:val="000B3F60"/>
    <w:rsid w:val="000C2C85"/>
    <w:rsid w:val="000C5ECD"/>
    <w:rsid w:val="000D268E"/>
    <w:rsid w:val="000D5BE2"/>
    <w:rsid w:val="000D64F5"/>
    <w:rsid w:val="000E2247"/>
    <w:rsid w:val="000E5F53"/>
    <w:rsid w:val="000F448C"/>
    <w:rsid w:val="000F7852"/>
    <w:rsid w:val="00101DF3"/>
    <w:rsid w:val="0010419B"/>
    <w:rsid w:val="00106E9D"/>
    <w:rsid w:val="00111F33"/>
    <w:rsid w:val="00113FED"/>
    <w:rsid w:val="00116001"/>
    <w:rsid w:val="00124CE7"/>
    <w:rsid w:val="00126A12"/>
    <w:rsid w:val="00133E73"/>
    <w:rsid w:val="00134CAA"/>
    <w:rsid w:val="0014609C"/>
    <w:rsid w:val="00146CE1"/>
    <w:rsid w:val="0014733D"/>
    <w:rsid w:val="00152BB8"/>
    <w:rsid w:val="0015384B"/>
    <w:rsid w:val="00160BD0"/>
    <w:rsid w:val="0016152D"/>
    <w:rsid w:val="00164965"/>
    <w:rsid w:val="00173A71"/>
    <w:rsid w:val="001753AC"/>
    <w:rsid w:val="00177B3E"/>
    <w:rsid w:val="0018770C"/>
    <w:rsid w:val="001917A7"/>
    <w:rsid w:val="001919B5"/>
    <w:rsid w:val="001A1209"/>
    <w:rsid w:val="001A2749"/>
    <w:rsid w:val="001A3783"/>
    <w:rsid w:val="001A4E1C"/>
    <w:rsid w:val="001B1B0A"/>
    <w:rsid w:val="001C1B7E"/>
    <w:rsid w:val="001D3550"/>
    <w:rsid w:val="001D4378"/>
    <w:rsid w:val="001D470E"/>
    <w:rsid w:val="001D5FFE"/>
    <w:rsid w:val="001D7F3F"/>
    <w:rsid w:val="001E1C7C"/>
    <w:rsid w:val="001E1FFF"/>
    <w:rsid w:val="001E6F2E"/>
    <w:rsid w:val="001F042A"/>
    <w:rsid w:val="00204E0A"/>
    <w:rsid w:val="00214643"/>
    <w:rsid w:val="002209F9"/>
    <w:rsid w:val="00222B13"/>
    <w:rsid w:val="0022646D"/>
    <w:rsid w:val="00234C13"/>
    <w:rsid w:val="0023517C"/>
    <w:rsid w:val="002408CA"/>
    <w:rsid w:val="00243DCD"/>
    <w:rsid w:val="002502E8"/>
    <w:rsid w:val="00251703"/>
    <w:rsid w:val="0025328F"/>
    <w:rsid w:val="002558E0"/>
    <w:rsid w:val="00262ED7"/>
    <w:rsid w:val="0026513A"/>
    <w:rsid w:val="00285D0B"/>
    <w:rsid w:val="0028666C"/>
    <w:rsid w:val="00291F93"/>
    <w:rsid w:val="00292E83"/>
    <w:rsid w:val="002958ED"/>
    <w:rsid w:val="00295BB6"/>
    <w:rsid w:val="002A28ED"/>
    <w:rsid w:val="002B459E"/>
    <w:rsid w:val="002B6E58"/>
    <w:rsid w:val="002B7F6B"/>
    <w:rsid w:val="002C0DC4"/>
    <w:rsid w:val="002C1535"/>
    <w:rsid w:val="002C1A00"/>
    <w:rsid w:val="002C48E8"/>
    <w:rsid w:val="002C52FF"/>
    <w:rsid w:val="002D4605"/>
    <w:rsid w:val="002E28B5"/>
    <w:rsid w:val="002E352C"/>
    <w:rsid w:val="00301E06"/>
    <w:rsid w:val="003055AC"/>
    <w:rsid w:val="0031477E"/>
    <w:rsid w:val="003153B1"/>
    <w:rsid w:val="0031743F"/>
    <w:rsid w:val="00321468"/>
    <w:rsid w:val="00324331"/>
    <w:rsid w:val="00330DEC"/>
    <w:rsid w:val="003314B2"/>
    <w:rsid w:val="0033323E"/>
    <w:rsid w:val="00340AE0"/>
    <w:rsid w:val="0036469F"/>
    <w:rsid w:val="0036491C"/>
    <w:rsid w:val="00370262"/>
    <w:rsid w:val="00372418"/>
    <w:rsid w:val="00376A85"/>
    <w:rsid w:val="00381C1A"/>
    <w:rsid w:val="00383D4C"/>
    <w:rsid w:val="003854B7"/>
    <w:rsid w:val="003951B4"/>
    <w:rsid w:val="003A1197"/>
    <w:rsid w:val="003B3FAE"/>
    <w:rsid w:val="003C22DF"/>
    <w:rsid w:val="003C6122"/>
    <w:rsid w:val="003C7C27"/>
    <w:rsid w:val="003D17E5"/>
    <w:rsid w:val="003D5835"/>
    <w:rsid w:val="003E030B"/>
    <w:rsid w:val="003E2D5E"/>
    <w:rsid w:val="003E2E00"/>
    <w:rsid w:val="003E5787"/>
    <w:rsid w:val="003E6EBD"/>
    <w:rsid w:val="003F0CC1"/>
    <w:rsid w:val="004011A3"/>
    <w:rsid w:val="00402248"/>
    <w:rsid w:val="00403D75"/>
    <w:rsid w:val="004044F1"/>
    <w:rsid w:val="00406D44"/>
    <w:rsid w:val="00415084"/>
    <w:rsid w:val="0041516F"/>
    <w:rsid w:val="00416875"/>
    <w:rsid w:val="0042656E"/>
    <w:rsid w:val="004504B4"/>
    <w:rsid w:val="004543B4"/>
    <w:rsid w:val="00462DF4"/>
    <w:rsid w:val="00465333"/>
    <w:rsid w:val="00467E02"/>
    <w:rsid w:val="00474595"/>
    <w:rsid w:val="00477249"/>
    <w:rsid w:val="00487E6A"/>
    <w:rsid w:val="004930D8"/>
    <w:rsid w:val="00496906"/>
    <w:rsid w:val="004A0FE5"/>
    <w:rsid w:val="004A2F49"/>
    <w:rsid w:val="004A67DC"/>
    <w:rsid w:val="004B5084"/>
    <w:rsid w:val="004B57B2"/>
    <w:rsid w:val="004C011C"/>
    <w:rsid w:val="004C0451"/>
    <w:rsid w:val="004C443A"/>
    <w:rsid w:val="004D2BCF"/>
    <w:rsid w:val="004D6494"/>
    <w:rsid w:val="004D7435"/>
    <w:rsid w:val="004E2C77"/>
    <w:rsid w:val="004E34E2"/>
    <w:rsid w:val="004E3FB0"/>
    <w:rsid w:val="004E4440"/>
    <w:rsid w:val="004E7E76"/>
    <w:rsid w:val="004F4C59"/>
    <w:rsid w:val="00503C1A"/>
    <w:rsid w:val="00521931"/>
    <w:rsid w:val="00534F37"/>
    <w:rsid w:val="005355FE"/>
    <w:rsid w:val="00551B5D"/>
    <w:rsid w:val="00552801"/>
    <w:rsid w:val="00553101"/>
    <w:rsid w:val="0055546F"/>
    <w:rsid w:val="00560A74"/>
    <w:rsid w:val="0056164B"/>
    <w:rsid w:val="00565787"/>
    <w:rsid w:val="00565E7D"/>
    <w:rsid w:val="00576EB3"/>
    <w:rsid w:val="00583EFD"/>
    <w:rsid w:val="00584D7F"/>
    <w:rsid w:val="00585B57"/>
    <w:rsid w:val="00592B80"/>
    <w:rsid w:val="005A4CE4"/>
    <w:rsid w:val="005A73CD"/>
    <w:rsid w:val="005C53A5"/>
    <w:rsid w:val="005C58A0"/>
    <w:rsid w:val="005D3E1A"/>
    <w:rsid w:val="005D5858"/>
    <w:rsid w:val="005E21C2"/>
    <w:rsid w:val="005F17AB"/>
    <w:rsid w:val="006115C3"/>
    <w:rsid w:val="00611889"/>
    <w:rsid w:val="006154F2"/>
    <w:rsid w:val="0062166D"/>
    <w:rsid w:val="00634032"/>
    <w:rsid w:val="00641FE0"/>
    <w:rsid w:val="0065293C"/>
    <w:rsid w:val="00654DEE"/>
    <w:rsid w:val="00655DDF"/>
    <w:rsid w:val="00663032"/>
    <w:rsid w:val="00666FFA"/>
    <w:rsid w:val="006763F4"/>
    <w:rsid w:val="00681D97"/>
    <w:rsid w:val="006861EB"/>
    <w:rsid w:val="00695016"/>
    <w:rsid w:val="0069602A"/>
    <w:rsid w:val="006B39F8"/>
    <w:rsid w:val="006B652A"/>
    <w:rsid w:val="006C524E"/>
    <w:rsid w:val="006E46B0"/>
    <w:rsid w:val="006F2143"/>
    <w:rsid w:val="006F400F"/>
    <w:rsid w:val="0070097B"/>
    <w:rsid w:val="007031D8"/>
    <w:rsid w:val="00703404"/>
    <w:rsid w:val="00706682"/>
    <w:rsid w:val="007068A2"/>
    <w:rsid w:val="007141AF"/>
    <w:rsid w:val="007202DB"/>
    <w:rsid w:val="00722208"/>
    <w:rsid w:val="007246FE"/>
    <w:rsid w:val="0073722E"/>
    <w:rsid w:val="00760805"/>
    <w:rsid w:val="007627EF"/>
    <w:rsid w:val="0076407D"/>
    <w:rsid w:val="00764938"/>
    <w:rsid w:val="0076601B"/>
    <w:rsid w:val="00770323"/>
    <w:rsid w:val="00777922"/>
    <w:rsid w:val="00781900"/>
    <w:rsid w:val="00783F6F"/>
    <w:rsid w:val="00784AB6"/>
    <w:rsid w:val="00786EB8"/>
    <w:rsid w:val="00787A68"/>
    <w:rsid w:val="00793D36"/>
    <w:rsid w:val="007A798A"/>
    <w:rsid w:val="007B0629"/>
    <w:rsid w:val="007B1382"/>
    <w:rsid w:val="007B5EA1"/>
    <w:rsid w:val="007B6823"/>
    <w:rsid w:val="007C72DA"/>
    <w:rsid w:val="007E1952"/>
    <w:rsid w:val="007E3E1B"/>
    <w:rsid w:val="007F231A"/>
    <w:rsid w:val="007F3325"/>
    <w:rsid w:val="007F4B69"/>
    <w:rsid w:val="00802127"/>
    <w:rsid w:val="00802226"/>
    <w:rsid w:val="008030BB"/>
    <w:rsid w:val="00811C00"/>
    <w:rsid w:val="00813C6A"/>
    <w:rsid w:val="00817187"/>
    <w:rsid w:val="00822A22"/>
    <w:rsid w:val="00830367"/>
    <w:rsid w:val="008304F7"/>
    <w:rsid w:val="00831094"/>
    <w:rsid w:val="00831548"/>
    <w:rsid w:val="00833D7F"/>
    <w:rsid w:val="00833EF1"/>
    <w:rsid w:val="00834204"/>
    <w:rsid w:val="00840431"/>
    <w:rsid w:val="00842E11"/>
    <w:rsid w:val="00847788"/>
    <w:rsid w:val="00850A65"/>
    <w:rsid w:val="0085510F"/>
    <w:rsid w:val="00862E9A"/>
    <w:rsid w:val="00864CAD"/>
    <w:rsid w:val="008650C6"/>
    <w:rsid w:val="00873A0D"/>
    <w:rsid w:val="00875FAD"/>
    <w:rsid w:val="00880A6E"/>
    <w:rsid w:val="00882AD3"/>
    <w:rsid w:val="008955B2"/>
    <w:rsid w:val="00897EA7"/>
    <w:rsid w:val="008A3360"/>
    <w:rsid w:val="008A466C"/>
    <w:rsid w:val="008A76B0"/>
    <w:rsid w:val="008B1192"/>
    <w:rsid w:val="008C14AD"/>
    <w:rsid w:val="008C1819"/>
    <w:rsid w:val="008C1E32"/>
    <w:rsid w:val="008C36B3"/>
    <w:rsid w:val="008D1782"/>
    <w:rsid w:val="008D49FE"/>
    <w:rsid w:val="008D5511"/>
    <w:rsid w:val="008E175C"/>
    <w:rsid w:val="008E3CD4"/>
    <w:rsid w:val="008E4101"/>
    <w:rsid w:val="008E7E74"/>
    <w:rsid w:val="008F2193"/>
    <w:rsid w:val="008F3B18"/>
    <w:rsid w:val="00901E15"/>
    <w:rsid w:val="00906ECB"/>
    <w:rsid w:val="0091600B"/>
    <w:rsid w:val="009175E0"/>
    <w:rsid w:val="009177EC"/>
    <w:rsid w:val="0092006A"/>
    <w:rsid w:val="00932447"/>
    <w:rsid w:val="00935198"/>
    <w:rsid w:val="00936D01"/>
    <w:rsid w:val="00941629"/>
    <w:rsid w:val="00943387"/>
    <w:rsid w:val="0094599C"/>
    <w:rsid w:val="0095126F"/>
    <w:rsid w:val="00952151"/>
    <w:rsid w:val="009563F0"/>
    <w:rsid w:val="00960521"/>
    <w:rsid w:val="00970529"/>
    <w:rsid w:val="0097291A"/>
    <w:rsid w:val="00981748"/>
    <w:rsid w:val="00984525"/>
    <w:rsid w:val="00984D61"/>
    <w:rsid w:val="00992EFB"/>
    <w:rsid w:val="00995674"/>
    <w:rsid w:val="00995865"/>
    <w:rsid w:val="009A2EC3"/>
    <w:rsid w:val="009A7D73"/>
    <w:rsid w:val="009B0543"/>
    <w:rsid w:val="009B180D"/>
    <w:rsid w:val="009B55F0"/>
    <w:rsid w:val="009C0D70"/>
    <w:rsid w:val="009C11A3"/>
    <w:rsid w:val="009C5493"/>
    <w:rsid w:val="009C5F27"/>
    <w:rsid w:val="009C7EDC"/>
    <w:rsid w:val="009D14D6"/>
    <w:rsid w:val="009D2253"/>
    <w:rsid w:val="009D353A"/>
    <w:rsid w:val="009D7C30"/>
    <w:rsid w:val="009E2DAE"/>
    <w:rsid w:val="009E4730"/>
    <w:rsid w:val="009E5D35"/>
    <w:rsid w:val="009E5EFB"/>
    <w:rsid w:val="009F75B8"/>
    <w:rsid w:val="00A03584"/>
    <w:rsid w:val="00A13260"/>
    <w:rsid w:val="00A1511C"/>
    <w:rsid w:val="00A158FC"/>
    <w:rsid w:val="00A249EF"/>
    <w:rsid w:val="00A315DD"/>
    <w:rsid w:val="00A46415"/>
    <w:rsid w:val="00A464FF"/>
    <w:rsid w:val="00A6014A"/>
    <w:rsid w:val="00A63B45"/>
    <w:rsid w:val="00A71F9F"/>
    <w:rsid w:val="00A74EFF"/>
    <w:rsid w:val="00A8083C"/>
    <w:rsid w:val="00A81679"/>
    <w:rsid w:val="00A81E61"/>
    <w:rsid w:val="00A83C46"/>
    <w:rsid w:val="00A908E8"/>
    <w:rsid w:val="00A928F9"/>
    <w:rsid w:val="00A9407E"/>
    <w:rsid w:val="00A954B4"/>
    <w:rsid w:val="00A95779"/>
    <w:rsid w:val="00A95A42"/>
    <w:rsid w:val="00A97272"/>
    <w:rsid w:val="00AA01AD"/>
    <w:rsid w:val="00AA4CB4"/>
    <w:rsid w:val="00AA4DD8"/>
    <w:rsid w:val="00AA57E6"/>
    <w:rsid w:val="00AB17B4"/>
    <w:rsid w:val="00AC068C"/>
    <w:rsid w:val="00AC5730"/>
    <w:rsid w:val="00B0779D"/>
    <w:rsid w:val="00B106A9"/>
    <w:rsid w:val="00B21F16"/>
    <w:rsid w:val="00B225DB"/>
    <w:rsid w:val="00B23555"/>
    <w:rsid w:val="00B267D7"/>
    <w:rsid w:val="00B30D8A"/>
    <w:rsid w:val="00B412A1"/>
    <w:rsid w:val="00B414ED"/>
    <w:rsid w:val="00B50644"/>
    <w:rsid w:val="00B518A6"/>
    <w:rsid w:val="00B536D5"/>
    <w:rsid w:val="00B5615B"/>
    <w:rsid w:val="00B565AE"/>
    <w:rsid w:val="00B60DEF"/>
    <w:rsid w:val="00B63995"/>
    <w:rsid w:val="00B639FC"/>
    <w:rsid w:val="00B656D5"/>
    <w:rsid w:val="00B6712E"/>
    <w:rsid w:val="00B70417"/>
    <w:rsid w:val="00B7164E"/>
    <w:rsid w:val="00B76D5F"/>
    <w:rsid w:val="00B7749C"/>
    <w:rsid w:val="00B813C0"/>
    <w:rsid w:val="00B91E1F"/>
    <w:rsid w:val="00B91F9C"/>
    <w:rsid w:val="00B957D0"/>
    <w:rsid w:val="00BB344D"/>
    <w:rsid w:val="00BC0C72"/>
    <w:rsid w:val="00BC2E77"/>
    <w:rsid w:val="00BD7F38"/>
    <w:rsid w:val="00BE22B3"/>
    <w:rsid w:val="00BE5A55"/>
    <w:rsid w:val="00BE7577"/>
    <w:rsid w:val="00BF087E"/>
    <w:rsid w:val="00BF1C39"/>
    <w:rsid w:val="00BF261A"/>
    <w:rsid w:val="00BF5A93"/>
    <w:rsid w:val="00C068BB"/>
    <w:rsid w:val="00C12D08"/>
    <w:rsid w:val="00C137FC"/>
    <w:rsid w:val="00C20E8A"/>
    <w:rsid w:val="00C22571"/>
    <w:rsid w:val="00C31DCE"/>
    <w:rsid w:val="00C34BC2"/>
    <w:rsid w:val="00C371D3"/>
    <w:rsid w:val="00C5340B"/>
    <w:rsid w:val="00C55292"/>
    <w:rsid w:val="00C57382"/>
    <w:rsid w:val="00C57BE5"/>
    <w:rsid w:val="00C61945"/>
    <w:rsid w:val="00C656A2"/>
    <w:rsid w:val="00C67CEA"/>
    <w:rsid w:val="00C8288C"/>
    <w:rsid w:val="00C870A5"/>
    <w:rsid w:val="00C87564"/>
    <w:rsid w:val="00CA6F88"/>
    <w:rsid w:val="00CB253D"/>
    <w:rsid w:val="00CC714B"/>
    <w:rsid w:val="00CC7D60"/>
    <w:rsid w:val="00CD2B14"/>
    <w:rsid w:val="00CE4573"/>
    <w:rsid w:val="00CE5098"/>
    <w:rsid w:val="00CE5376"/>
    <w:rsid w:val="00CE556B"/>
    <w:rsid w:val="00CE78FE"/>
    <w:rsid w:val="00CF44A9"/>
    <w:rsid w:val="00CF496E"/>
    <w:rsid w:val="00D03484"/>
    <w:rsid w:val="00D07901"/>
    <w:rsid w:val="00D1011E"/>
    <w:rsid w:val="00D2017E"/>
    <w:rsid w:val="00D23091"/>
    <w:rsid w:val="00D2693F"/>
    <w:rsid w:val="00D275CC"/>
    <w:rsid w:val="00D332DB"/>
    <w:rsid w:val="00D4323A"/>
    <w:rsid w:val="00D46A39"/>
    <w:rsid w:val="00D47046"/>
    <w:rsid w:val="00D50030"/>
    <w:rsid w:val="00D50DDF"/>
    <w:rsid w:val="00D51C79"/>
    <w:rsid w:val="00D53745"/>
    <w:rsid w:val="00D6601B"/>
    <w:rsid w:val="00D73313"/>
    <w:rsid w:val="00D733E3"/>
    <w:rsid w:val="00D85430"/>
    <w:rsid w:val="00D91839"/>
    <w:rsid w:val="00D95BE0"/>
    <w:rsid w:val="00DA32CE"/>
    <w:rsid w:val="00DA3E6D"/>
    <w:rsid w:val="00DA79FD"/>
    <w:rsid w:val="00DB4715"/>
    <w:rsid w:val="00DB7D10"/>
    <w:rsid w:val="00DC1120"/>
    <w:rsid w:val="00DC2C94"/>
    <w:rsid w:val="00DD130C"/>
    <w:rsid w:val="00DD5171"/>
    <w:rsid w:val="00DE0419"/>
    <w:rsid w:val="00DE6085"/>
    <w:rsid w:val="00DE72DD"/>
    <w:rsid w:val="00DF4FD8"/>
    <w:rsid w:val="00DF6B53"/>
    <w:rsid w:val="00E0124A"/>
    <w:rsid w:val="00E02962"/>
    <w:rsid w:val="00E10729"/>
    <w:rsid w:val="00E21DC6"/>
    <w:rsid w:val="00E2489A"/>
    <w:rsid w:val="00E24E1E"/>
    <w:rsid w:val="00E26395"/>
    <w:rsid w:val="00E268EC"/>
    <w:rsid w:val="00E37AEE"/>
    <w:rsid w:val="00E4027D"/>
    <w:rsid w:val="00E43607"/>
    <w:rsid w:val="00E45A68"/>
    <w:rsid w:val="00E5208E"/>
    <w:rsid w:val="00E522EB"/>
    <w:rsid w:val="00E535A7"/>
    <w:rsid w:val="00E561B9"/>
    <w:rsid w:val="00E700BF"/>
    <w:rsid w:val="00E70F87"/>
    <w:rsid w:val="00E8062B"/>
    <w:rsid w:val="00E82E2D"/>
    <w:rsid w:val="00E83F3D"/>
    <w:rsid w:val="00E84A66"/>
    <w:rsid w:val="00E91160"/>
    <w:rsid w:val="00E936E3"/>
    <w:rsid w:val="00E978C8"/>
    <w:rsid w:val="00EA1242"/>
    <w:rsid w:val="00EA7560"/>
    <w:rsid w:val="00EA7D60"/>
    <w:rsid w:val="00EB49DA"/>
    <w:rsid w:val="00EC1AFB"/>
    <w:rsid w:val="00EC28AE"/>
    <w:rsid w:val="00EC5EF2"/>
    <w:rsid w:val="00ED5141"/>
    <w:rsid w:val="00EE33C1"/>
    <w:rsid w:val="00EE612E"/>
    <w:rsid w:val="00EF1541"/>
    <w:rsid w:val="00F0077B"/>
    <w:rsid w:val="00F14B64"/>
    <w:rsid w:val="00F234AA"/>
    <w:rsid w:val="00F25E2D"/>
    <w:rsid w:val="00F33804"/>
    <w:rsid w:val="00F43A5F"/>
    <w:rsid w:val="00F43DB6"/>
    <w:rsid w:val="00F44D51"/>
    <w:rsid w:val="00F5092E"/>
    <w:rsid w:val="00F51461"/>
    <w:rsid w:val="00F51DB2"/>
    <w:rsid w:val="00F52B1E"/>
    <w:rsid w:val="00F5544B"/>
    <w:rsid w:val="00F60282"/>
    <w:rsid w:val="00F762EE"/>
    <w:rsid w:val="00F7716E"/>
    <w:rsid w:val="00F77DFD"/>
    <w:rsid w:val="00F80C23"/>
    <w:rsid w:val="00F95776"/>
    <w:rsid w:val="00F96955"/>
    <w:rsid w:val="00F97859"/>
    <w:rsid w:val="00FA090D"/>
    <w:rsid w:val="00FA7E3E"/>
    <w:rsid w:val="00FC2BB0"/>
    <w:rsid w:val="00FC6E8E"/>
    <w:rsid w:val="00FC7544"/>
    <w:rsid w:val="00FD1CA9"/>
    <w:rsid w:val="00FD1EFF"/>
    <w:rsid w:val="00FD3538"/>
    <w:rsid w:val="00FD5973"/>
    <w:rsid w:val="00FE5643"/>
    <w:rsid w:val="00FE5997"/>
    <w:rsid w:val="00FE5C42"/>
    <w:rsid w:val="00FF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DB99A"/>
  <w15:chartTrackingRefBased/>
  <w15:docId w15:val="{D0498A4F-1B21-4C68-A9D7-16C458B1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table" w:styleId="TableGrid">
    <w:name w:val="Table Grid"/>
    <w:basedOn w:val="TableNormal"/>
    <w:uiPriority w:val="59"/>
    <w:rsid w:val="00936D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031D8"/>
    <w:pPr>
      <w:tabs>
        <w:tab w:val="center" w:pos="4680"/>
        <w:tab w:val="right" w:pos="9360"/>
      </w:tabs>
    </w:pPr>
  </w:style>
  <w:style w:type="character" w:customStyle="1" w:styleId="HeaderChar">
    <w:name w:val="Header Char"/>
    <w:basedOn w:val="DefaultParagraphFont"/>
    <w:link w:val="Header"/>
    <w:uiPriority w:val="99"/>
    <w:rsid w:val="007031D8"/>
  </w:style>
  <w:style w:type="paragraph" w:styleId="Footer">
    <w:name w:val="footer"/>
    <w:basedOn w:val="Normal"/>
    <w:link w:val="FooterChar"/>
    <w:uiPriority w:val="99"/>
    <w:unhideWhenUsed/>
    <w:rsid w:val="007031D8"/>
    <w:pPr>
      <w:tabs>
        <w:tab w:val="center" w:pos="4680"/>
        <w:tab w:val="right" w:pos="9360"/>
      </w:tabs>
    </w:pPr>
  </w:style>
  <w:style w:type="character" w:customStyle="1" w:styleId="FooterChar">
    <w:name w:val="Footer Char"/>
    <w:basedOn w:val="DefaultParagraphFont"/>
    <w:link w:val="Footer"/>
    <w:uiPriority w:val="99"/>
    <w:rsid w:val="007031D8"/>
  </w:style>
  <w:style w:type="paragraph" w:styleId="BalloonText">
    <w:name w:val="Balloon Text"/>
    <w:basedOn w:val="Normal"/>
    <w:link w:val="BalloonTextChar"/>
    <w:uiPriority w:val="99"/>
    <w:semiHidden/>
    <w:unhideWhenUsed/>
    <w:rsid w:val="00862E9A"/>
    <w:rPr>
      <w:rFonts w:ascii="Segoe UI" w:hAnsi="Segoe UI" w:cs="Segoe UI"/>
      <w:sz w:val="18"/>
      <w:szCs w:val="18"/>
    </w:rPr>
  </w:style>
  <w:style w:type="character" w:customStyle="1" w:styleId="BalloonTextChar">
    <w:name w:val="Balloon Text Char"/>
    <w:link w:val="BalloonText"/>
    <w:uiPriority w:val="99"/>
    <w:semiHidden/>
    <w:rsid w:val="00862E9A"/>
    <w:rPr>
      <w:rFonts w:ascii="Segoe UI" w:hAnsi="Segoe UI" w:cs="Segoe UI"/>
      <w:sz w:val="18"/>
      <w:szCs w:val="18"/>
    </w:rPr>
  </w:style>
  <w:style w:type="paragraph" w:styleId="ListParagraph">
    <w:name w:val="List Paragraph"/>
    <w:basedOn w:val="Normal"/>
    <w:uiPriority w:val="34"/>
    <w:qFormat/>
    <w:rsid w:val="00B41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0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GETHSEMANE UNITED METHODIST CHURCH INTRAOFFICE MEMORANDUM</vt:lpstr>
    </vt:vector>
  </TitlesOfParts>
  <Company>Compaq</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GETHSEMANE UNITED METHODIST CHURCH INTRAOFFICE MEMORANDUM</dc:title>
  <dc:subject/>
  <dc:creator>PETER W. HOGUE</dc:creator>
  <cp:keywords/>
  <cp:lastModifiedBy>Pete Hogue</cp:lastModifiedBy>
  <cp:revision>2</cp:revision>
  <cp:lastPrinted>2024-06-03T23:44:00Z</cp:lastPrinted>
  <dcterms:created xsi:type="dcterms:W3CDTF">2024-06-15T19:41:00Z</dcterms:created>
  <dcterms:modified xsi:type="dcterms:W3CDTF">2024-06-15T19:41:00Z</dcterms:modified>
</cp:coreProperties>
</file>